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36"/>
          <w:szCs w:val="36"/>
        </w:rPr>
      </w:pPr>
      <w:r>
        <w:rPr>
          <w:rFonts w:hint="eastAsia" w:ascii="Times New Roman" w:hAnsi="Times New Roman" w:eastAsia="宋体" w:cs="Times New Roman"/>
          <w:sz w:val="36"/>
          <w:szCs w:val="36"/>
          <w:lang w:val="en-US" w:eastAsia="zh-CN"/>
        </w:rPr>
        <w:t>压缩空气质量测量仪校准规范</w:t>
      </w:r>
      <w:r>
        <w:rPr>
          <w:sz w:val="36"/>
          <w:szCs w:val="36"/>
        </w:rPr>
        <w:t>实验报告</w:t>
      </w:r>
    </w:p>
    <w:p>
      <w:pPr>
        <w:pStyle w:val="2"/>
        <w:rPr>
          <w:sz w:val="32"/>
          <w:szCs w:val="32"/>
        </w:rPr>
      </w:pPr>
      <w:r>
        <w:rPr>
          <w:sz w:val="32"/>
          <w:szCs w:val="32"/>
        </w:rPr>
        <w:t>一、简介</w:t>
      </w:r>
    </w:p>
    <w:p>
      <w:pPr>
        <w:spacing w:line="360" w:lineRule="auto"/>
        <w:jc w:val="left"/>
        <w:rPr>
          <w:rFonts w:hint="eastAsia"/>
          <w:sz w:val="24"/>
        </w:rPr>
      </w:pPr>
      <w:r>
        <w:rPr>
          <w:rFonts w:hint="eastAsia"/>
          <w:sz w:val="24"/>
        </w:rPr>
        <w:t xml:space="preserve">   本实验报告的目的是通过一系列的样机模拟试验，验证和考察新制订校准规范的校准方法和技术指标的科学性、合理性和可操作性。在实验过程中课题组共考察了多台国内</w:t>
      </w:r>
      <w:r>
        <w:rPr>
          <w:rFonts w:hint="eastAsia" w:ascii="Times New Roman" w:hAnsi="Times New Roman" w:eastAsia="宋体" w:cs="Times New Roman"/>
          <w:sz w:val="24"/>
        </w:rPr>
        <w:t>外</w:t>
      </w:r>
      <w:r>
        <w:rPr>
          <w:rFonts w:hint="eastAsia" w:ascii="Times New Roman" w:hAnsi="Times New Roman" w:eastAsia="宋体" w:cs="Times New Roman"/>
          <w:sz w:val="24"/>
          <w:lang w:val="en-US" w:eastAsia="zh-CN"/>
        </w:rPr>
        <w:t>压缩空气质量测量仪</w:t>
      </w:r>
      <w:r>
        <w:rPr>
          <w:rFonts w:hint="eastAsia"/>
          <w:sz w:val="24"/>
        </w:rPr>
        <w:t>，所考察仪器规格/型号为市场中常见的国内外等相关公司的产品。图1至图4为几种被校准仪器的实物图。</w:t>
      </w:r>
    </w:p>
    <w:p>
      <w:pPr>
        <w:spacing w:line="360" w:lineRule="auto"/>
        <w:jc w:val="left"/>
        <w:rPr>
          <w:rFonts w:hint="eastAsia"/>
          <w:sz w:val="24"/>
        </w:rPr>
      </w:pPr>
      <w:r>
        <w:rPr>
          <w:rFonts w:hint="eastAsia" w:eastAsia="宋体"/>
          <w:lang w:eastAsia="zh-CN"/>
        </w:rPr>
        <w:drawing>
          <wp:anchor distT="0" distB="0" distL="114300" distR="114300" simplePos="0" relativeHeight="251662336" behindDoc="0" locked="0" layoutInCell="1" allowOverlap="1">
            <wp:simplePos x="0" y="0"/>
            <wp:positionH relativeFrom="column">
              <wp:posOffset>2607945</wp:posOffset>
            </wp:positionH>
            <wp:positionV relativeFrom="paragraph">
              <wp:posOffset>84455</wp:posOffset>
            </wp:positionV>
            <wp:extent cx="2661920" cy="2522220"/>
            <wp:effectExtent l="0" t="0" r="5080" b="11430"/>
            <wp:wrapNone/>
            <wp:docPr id="3" name="图片 9" descr="78376bf50ee2b6953d810758baecc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78376bf50ee2b6953d810758baecc18"/>
                    <pic:cNvPicPr>
                      <a:picLocks noChangeAspect="1"/>
                    </pic:cNvPicPr>
                  </pic:nvPicPr>
                  <pic:blipFill>
                    <a:blip r:embed="rId5"/>
                    <a:stretch>
                      <a:fillRect/>
                    </a:stretch>
                  </pic:blipFill>
                  <pic:spPr>
                    <a:xfrm>
                      <a:off x="0" y="0"/>
                      <a:ext cx="2661920" cy="2522220"/>
                    </a:xfrm>
                    <a:prstGeom prst="rect">
                      <a:avLst/>
                    </a:prstGeom>
                    <a:noFill/>
                    <a:ln>
                      <a:noFill/>
                    </a:ln>
                  </pic:spPr>
                </pic:pic>
              </a:graphicData>
            </a:graphic>
          </wp:anchor>
        </w:drawing>
      </w:r>
      <w:r>
        <w:rPr>
          <w:rFonts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-379095</wp:posOffset>
            </wp:positionH>
            <wp:positionV relativeFrom="paragraph">
              <wp:posOffset>-73660</wp:posOffset>
            </wp:positionV>
            <wp:extent cx="2503170" cy="2879725"/>
            <wp:effectExtent l="0" t="0" r="15875" b="11430"/>
            <wp:wrapNone/>
            <wp:docPr id="2"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descr="IMG_256"/>
                    <pic:cNvPicPr>
                      <a:picLocks noChangeAspect="1"/>
                    </pic:cNvPicPr>
                  </pic:nvPicPr>
                  <pic:blipFill>
                    <a:blip r:embed="rId6"/>
                    <a:stretch>
                      <a:fillRect/>
                    </a:stretch>
                  </pic:blipFill>
                  <pic:spPr>
                    <a:xfrm rot="-5400000">
                      <a:off x="0" y="0"/>
                      <a:ext cx="2503170" cy="2879725"/>
                    </a:xfrm>
                    <a:prstGeom prst="rect">
                      <a:avLst/>
                    </a:prstGeom>
                    <a:noFill/>
                    <a:ln>
                      <a:noFill/>
                    </a:ln>
                  </pic:spPr>
                </pic:pic>
              </a:graphicData>
            </a:graphic>
          </wp:anchor>
        </w:drawing>
      </w:r>
    </w:p>
    <w:p>
      <w:pPr>
        <w:spacing w:line="360" w:lineRule="auto"/>
        <w:jc w:val="left"/>
        <w:rPr>
          <w:rFonts w:hint="eastAsia"/>
          <w:sz w:val="24"/>
        </w:rPr>
      </w:pPr>
    </w:p>
    <w:p>
      <w:pPr>
        <w:spacing w:line="360" w:lineRule="auto"/>
        <w:jc w:val="center"/>
        <w:rPr>
          <w:rFonts w:hint="eastAsia"/>
          <w:sz w:val="24"/>
        </w:rPr>
      </w:pPr>
    </w:p>
    <w:p>
      <w:pPr>
        <w:rPr>
          <w:rFonts w:hint="eastAsia"/>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ascii="Arial" w:hAnsi="Arial" w:eastAsia="宋体" w:cs="Arial"/>
          <w:b/>
          <w:bCs/>
          <w:i w:val="0"/>
          <w:iCs w:val="0"/>
          <w:caps w:val="0"/>
          <w:color w:val="000000"/>
          <w:spacing w:val="0"/>
          <w:sz w:val="27"/>
          <w:szCs w:val="27"/>
          <w:shd w:val="clear" w:color="auto" w:fill="FFFFFF"/>
        </w:rPr>
      </w:pPr>
    </w:p>
    <w:p>
      <w:pPr>
        <w:spacing w:line="360" w:lineRule="auto"/>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图1</w:t>
      </w:r>
      <w:r>
        <w:rPr>
          <w:rFonts w:hint="eastAsia" w:ascii="Times New Roman" w:hAnsi="Times New Roman" w:eastAsia="宋体" w:cs="Times New Roman"/>
          <w:sz w:val="24"/>
        </w:rPr>
        <w:t>德尔格压缩空气质量检测仪</w:t>
      </w:r>
      <w:r>
        <w:rPr>
          <w:rFonts w:hint="eastAsia" w:ascii="Times New Roman" w:hAnsi="Times New Roman" w:eastAsia="宋体" w:cs="Times New Roman"/>
          <w:sz w:val="24"/>
          <w:lang w:val="en-US" w:eastAsia="zh-CN"/>
        </w:rPr>
        <w:t xml:space="preserve">              图2高压气体颗粒测量仪</w:t>
      </w:r>
    </w:p>
    <w:p>
      <w:pPr>
        <w:spacing w:line="360" w:lineRule="auto"/>
        <w:jc w:val="left"/>
        <w:rPr>
          <w:rFonts w:hint="default" w:ascii="Times New Roman" w:hAnsi="Times New Roman" w:eastAsia="宋体" w:cs="Times New Roman"/>
          <w:sz w:val="24"/>
          <w:lang w:val="en-US"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-434340</wp:posOffset>
            </wp:positionH>
            <wp:positionV relativeFrom="paragraph">
              <wp:posOffset>216535</wp:posOffset>
            </wp:positionV>
            <wp:extent cx="2820035" cy="2362200"/>
            <wp:effectExtent l="0" t="0" r="18415" b="0"/>
            <wp:wrapNone/>
            <wp:docPr id="1" name="图片 10" descr="3f1b913d18e873f9b15655bf35fb0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3f1b913d18e873f9b15655bf35fb00e"/>
                    <pic:cNvPicPr>
                      <a:picLocks noChangeAspect="1"/>
                    </pic:cNvPicPr>
                  </pic:nvPicPr>
                  <pic:blipFill>
                    <a:blip r:embed="rId7"/>
                    <a:stretch>
                      <a:fillRect/>
                    </a:stretch>
                  </pic:blipFill>
                  <pic:spPr>
                    <a:xfrm>
                      <a:off x="0" y="0"/>
                      <a:ext cx="2820035" cy="2362200"/>
                    </a:xfrm>
                    <a:prstGeom prst="rect">
                      <a:avLst/>
                    </a:prstGeom>
                    <a:noFill/>
                    <a:ln>
                      <a:noFill/>
                    </a:ln>
                  </pic:spPr>
                </pic:pic>
              </a:graphicData>
            </a:graphic>
          </wp:anchor>
        </w:drawing>
      </w:r>
      <w:r>
        <w:rPr>
          <w:rFonts w:ascii="宋体" w:hAnsi="宋体" w:eastAsia="宋体" w:cs="宋体"/>
          <w:sz w:val="24"/>
          <w:szCs w:val="24"/>
        </w:rPr>
        <w:drawing>
          <wp:anchor distT="0" distB="0" distL="114300" distR="114300" simplePos="0" relativeHeight="251663360" behindDoc="0" locked="0" layoutInCell="1" allowOverlap="1">
            <wp:simplePos x="0" y="0"/>
            <wp:positionH relativeFrom="column">
              <wp:posOffset>2876550</wp:posOffset>
            </wp:positionH>
            <wp:positionV relativeFrom="paragraph">
              <wp:posOffset>136525</wp:posOffset>
            </wp:positionV>
            <wp:extent cx="1997075" cy="2486660"/>
            <wp:effectExtent l="0" t="0" r="3175" b="8890"/>
            <wp:wrapNone/>
            <wp:docPr id="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descr="IMG_256"/>
                    <pic:cNvPicPr>
                      <a:picLocks noChangeAspect="1"/>
                    </pic:cNvPicPr>
                  </pic:nvPicPr>
                  <pic:blipFill>
                    <a:blip r:embed="rId8"/>
                    <a:srcRect l="7419" t="1170" r="25526" b="7689"/>
                    <a:stretch>
                      <a:fillRect/>
                    </a:stretch>
                  </pic:blipFill>
                  <pic:spPr>
                    <a:xfrm>
                      <a:off x="0" y="0"/>
                      <a:ext cx="1997075" cy="2486660"/>
                    </a:xfrm>
                    <a:prstGeom prst="rect">
                      <a:avLst/>
                    </a:prstGeom>
                    <a:noFill/>
                    <a:ln>
                      <a:noFill/>
                    </a:ln>
                  </pic:spPr>
                </pic:pic>
              </a:graphicData>
            </a:graphic>
          </wp:anchor>
        </w:drawing>
      </w:r>
    </w:p>
    <w:p>
      <w:pPr>
        <w:rPr>
          <w:rFonts w:hint="eastAsia" w:eastAsia="宋体"/>
          <w:lang w:eastAsia="zh-CN"/>
        </w:rPr>
      </w:pPr>
    </w:p>
    <w:p>
      <w:pPr>
        <w:rPr>
          <w:rFonts w:hint="eastAsia" w:eastAsia="宋体"/>
          <w:lang w:eastAsia="zh-CN"/>
        </w:rPr>
      </w:pPr>
    </w:p>
    <w:p>
      <w:pPr>
        <w:spacing w:line="360" w:lineRule="auto"/>
        <w:jc w:val="left"/>
        <w:rPr>
          <w:sz w:val="24"/>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lang w:val="en-US" w:eastAsia="zh-CN"/>
        </w:rPr>
      </w:pPr>
    </w:p>
    <w:p>
      <w:pPr>
        <w:rPr>
          <w:rFonts w:hint="default" w:eastAsia="宋体"/>
          <w:lang w:val="en-US" w:eastAsia="zh-CN"/>
        </w:rPr>
      </w:pPr>
      <w:r>
        <w:rPr>
          <w:rFonts w:hint="eastAsia" w:ascii="Times New Roman" w:hAnsi="Times New Roman" w:eastAsia="宋体" w:cs="Times New Roman"/>
          <w:sz w:val="24"/>
          <w:lang w:val="en-US" w:eastAsia="zh-CN"/>
        </w:rPr>
        <w:t xml:space="preserve">图3氧舱压缩空气质量检测仪  </w:t>
      </w:r>
      <w:r>
        <w:rPr>
          <w:rFonts w:hint="eastAsia" w:ascii="宋体" w:hAnsi="宋体" w:eastAsia="宋体" w:cs="宋体"/>
          <w:i w:val="0"/>
          <w:iCs w:val="0"/>
          <w:color w:val="000000"/>
          <w:kern w:val="0"/>
          <w:sz w:val="24"/>
          <w:szCs w:val="24"/>
          <w:u w:val="none"/>
          <w:lang w:val="en-US" w:eastAsia="zh-CN" w:bidi="ar"/>
        </w:rPr>
        <w:t xml:space="preserve">          图4 压缩空气质量</w:t>
      </w:r>
      <w:r>
        <w:rPr>
          <w:rFonts w:hint="eastAsia" w:ascii="宋体" w:hAnsi="宋体" w:cs="宋体"/>
          <w:i w:val="0"/>
          <w:iCs w:val="0"/>
          <w:color w:val="000000"/>
          <w:kern w:val="0"/>
          <w:sz w:val="24"/>
          <w:szCs w:val="24"/>
          <w:u w:val="none"/>
          <w:lang w:val="en-US" w:eastAsia="zh-CN" w:bidi="ar"/>
        </w:rPr>
        <w:t>露点</w:t>
      </w:r>
      <w:r>
        <w:rPr>
          <w:rFonts w:hint="eastAsia" w:ascii="宋体" w:hAnsi="宋体" w:eastAsia="宋体" w:cs="宋体"/>
          <w:i w:val="0"/>
          <w:iCs w:val="0"/>
          <w:color w:val="000000"/>
          <w:kern w:val="0"/>
          <w:sz w:val="24"/>
          <w:szCs w:val="24"/>
          <w:u w:val="none"/>
          <w:lang w:val="en-US" w:eastAsia="zh-CN" w:bidi="ar"/>
        </w:rPr>
        <w:t>测量仪</w:t>
      </w:r>
    </w:p>
    <w:p>
      <w:pPr>
        <w:rPr>
          <w:rFonts w:hint="eastAsia"/>
        </w:rPr>
      </w:pPr>
    </w:p>
    <w:p>
      <w:pPr>
        <w:rPr>
          <w:rFonts w:hint="eastAsia"/>
        </w:rPr>
      </w:pPr>
    </w:p>
    <w:p>
      <w:pPr>
        <w:rPr>
          <w:rFonts w:hint="eastAsia"/>
        </w:rPr>
      </w:pPr>
    </w:p>
    <w:p>
      <w:pPr>
        <w:pStyle w:val="2"/>
        <w:rPr>
          <w:rFonts w:hint="default"/>
          <w:sz w:val="32"/>
          <w:szCs w:val="32"/>
        </w:rPr>
      </w:pPr>
      <w:r>
        <w:rPr>
          <w:sz w:val="32"/>
          <w:szCs w:val="32"/>
        </w:rPr>
        <w:t>二、实验环境及实施方案</w:t>
      </w:r>
    </w:p>
    <w:p>
      <w:pPr>
        <w:pStyle w:val="4"/>
        <w:rPr>
          <w:rFonts w:hint="eastAsia" w:ascii="宋体" w:hAnsi="宋体" w:cs="宋体"/>
          <w:sz w:val="28"/>
          <w:szCs w:val="28"/>
        </w:rPr>
      </w:pPr>
      <w:r>
        <w:rPr>
          <w:rFonts w:hint="eastAsia" w:ascii="宋体" w:hAnsi="宋体" w:cs="宋体"/>
          <w:sz w:val="28"/>
          <w:szCs w:val="28"/>
        </w:rPr>
        <w:t>2.1 实验环境条件</w:t>
      </w:r>
    </w:p>
    <w:p>
      <w:pPr>
        <w:spacing w:line="360" w:lineRule="auto"/>
        <w:ind w:firstLine="240" w:firstLineChars="100"/>
        <w:jc w:val="left"/>
        <w:rPr>
          <w:rFonts w:hint="eastAsia"/>
          <w:sz w:val="24"/>
        </w:rPr>
      </w:pPr>
      <w:r>
        <w:rPr>
          <w:rFonts w:hint="eastAsia"/>
          <w:sz w:val="24"/>
        </w:rPr>
        <w:t xml:space="preserve">环境温度：(20±5)℃，相对湿度：(20～80) </w:t>
      </w:r>
      <w:bookmarkStart w:id="0" w:name="OLE_LINK25"/>
      <w:bookmarkStart w:id="1" w:name="OLE_LINK23"/>
      <w:bookmarkStart w:id="2" w:name="OLE_LINK26"/>
      <w:bookmarkStart w:id="3" w:name="OLE_LINK24"/>
      <w:r>
        <w:rPr>
          <w:rFonts w:hint="eastAsia"/>
          <w:sz w:val="24"/>
        </w:rPr>
        <w:t>%RH</w:t>
      </w:r>
      <w:bookmarkEnd w:id="0"/>
      <w:bookmarkEnd w:id="1"/>
      <w:bookmarkEnd w:id="2"/>
      <w:bookmarkEnd w:id="3"/>
      <w:r>
        <w:rPr>
          <w:rFonts w:hint="eastAsia"/>
          <w:sz w:val="24"/>
        </w:rPr>
        <w:t>。</w:t>
      </w:r>
    </w:p>
    <w:p>
      <w:pPr>
        <w:spacing w:line="360" w:lineRule="auto"/>
        <w:ind w:firstLine="240" w:firstLineChars="100"/>
        <w:jc w:val="both"/>
        <w:rPr>
          <w:rFonts w:hint="eastAsia"/>
          <w:sz w:val="24"/>
        </w:rPr>
      </w:pPr>
      <w:r>
        <w:rPr>
          <w:rFonts w:hint="eastAsia"/>
          <w:sz w:val="24"/>
        </w:rPr>
        <w:t>供电电压：AC(220±22)V，（50±1）Hz。</w:t>
      </w:r>
    </w:p>
    <w:p>
      <w:pPr>
        <w:spacing w:line="360" w:lineRule="auto"/>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2.2 流量示值误差</w:t>
      </w:r>
    </w:p>
    <w:p>
      <w:pPr>
        <w:spacing w:line="360" w:lineRule="auto"/>
        <w:ind w:firstLine="480"/>
        <w:rPr>
          <w:rFonts w:hint="eastAsia"/>
          <w:sz w:val="24"/>
        </w:rPr>
      </w:pPr>
      <w:r>
        <w:rPr>
          <w:rFonts w:hint="eastAsia" w:ascii="Times New Roman" w:hAnsi="Times New Roman" w:eastAsia="宋体" w:cs="Times New Roman"/>
          <w:sz w:val="24"/>
          <w:lang w:val="en-US" w:eastAsia="zh-CN"/>
        </w:rPr>
        <w:t>目前市场上压缩空气质量的检测方法有在线测量法、取样管法，目前取样管法常见仪器有</w:t>
      </w:r>
      <w:r>
        <w:rPr>
          <w:rFonts w:hint="eastAsia"/>
          <w:sz w:val="24"/>
        </w:rPr>
        <w:t>德尔格生产的 Aerotest</w:t>
      </w:r>
      <w:r>
        <w:rPr>
          <w:rFonts w:hint="eastAsia"/>
          <w:sz w:val="24"/>
          <w:lang w:val="en-US" w:eastAsia="zh-CN"/>
        </w:rPr>
        <w:t xml:space="preserve"> </w:t>
      </w:r>
      <w:r>
        <w:rPr>
          <w:rFonts w:hint="eastAsia"/>
          <w:sz w:val="24"/>
        </w:rPr>
        <w:t>Alpha系列</w:t>
      </w:r>
      <w:r>
        <w:rPr>
          <w:rFonts w:hint="eastAsia"/>
          <w:sz w:val="24"/>
          <w:lang w:eastAsia="zh-CN"/>
        </w:rPr>
        <w:t>，</w:t>
      </w:r>
      <w:r>
        <w:rPr>
          <w:rFonts w:hint="eastAsia"/>
          <w:sz w:val="24"/>
        </w:rPr>
        <w:t>压缩空气质量检测仪工作原理与减压器原理类似，它通过快速高压接头接入高压空气，调节到所仪器所使用的压力，通常为3bar，在这压力下，各通道会流出相对应的气体流量</w:t>
      </w:r>
      <w:r>
        <w:rPr>
          <w:rFonts w:hint="eastAsia"/>
          <w:sz w:val="24"/>
          <w:lang w:eastAsia="zh-CN"/>
        </w:rPr>
        <w:t>，</w:t>
      </w:r>
      <w:r>
        <w:rPr>
          <w:rFonts w:hint="eastAsia"/>
          <w:sz w:val="24"/>
          <w:lang w:val="en-US" w:eastAsia="zh-CN"/>
        </w:rPr>
        <w:t>由于不同压力会造成流量会有所偏差，因此气路接入一个标准压力表，保证调压装置的压力点在规定的工作范围内</w:t>
      </w:r>
      <w:r>
        <w:rPr>
          <w:rFonts w:hint="eastAsia"/>
          <w:sz w:val="24"/>
        </w:rPr>
        <w:t>。此时，按说明书各通道接入相应的检测管，空气流入检测管与其内部的试剂发生反应发生颜色变化，当反应时间到后，在检测管直接读取该成分的含量值。</w:t>
      </w:r>
    </w:p>
    <w:p>
      <w:pPr>
        <w:spacing w:line="360" w:lineRule="auto"/>
        <w:ind w:firstLine="480"/>
        <w:rPr>
          <w:rFonts w:hint="eastAsia"/>
          <w:sz w:val="24"/>
        </w:rPr>
      </w:pPr>
      <w:r>
        <w:rPr>
          <w:rFonts w:hint="eastAsia"/>
          <w:sz w:val="24"/>
        </w:rPr>
        <w:t>压缩空气检测仪在前端为高压气，因此需要定制专用管路与接头，用于连接减压器、标准压力表和压缩空气质量检测仪。</w:t>
      </w:r>
    </w:p>
    <w:p>
      <w:pPr>
        <w:spacing w:line="360" w:lineRule="auto"/>
        <w:ind w:firstLine="480" w:firstLineChars="200"/>
        <w:jc w:val="center"/>
        <w:rPr>
          <w:sz w:val="24"/>
        </w:rPr>
      </w:pPr>
      <w:r>
        <w:rPr>
          <w:sz w:val="24"/>
        </w:rPr>
        <w:object>
          <v:shape id="_x0000_i1025" o:spt="75" type="#_x0000_t75" style="height:105.75pt;width:243pt;" o:ole="t" filled="f" o:preferrelative="t" stroked="f" coordsize="21600,21600">
            <v:path/>
            <v:fill on="f" focussize="0,0"/>
            <v:stroke on="f"/>
            <v:imagedata r:id="rId10" o:title=""/>
            <o:lock v:ext="edit" aspectratio="f"/>
            <w10:wrap type="none"/>
            <w10:anchorlock/>
          </v:shape>
          <o:OLEObject Type="Embed" ProgID="Visio.Drawing.11" ShapeID="_x0000_i1025" DrawAspect="Content" ObjectID="_1468075725" r:id="rId9">
            <o:LockedField>false</o:LockedField>
          </o:OLEObject>
        </w:object>
      </w:r>
    </w:p>
    <w:p>
      <w:pPr>
        <w:spacing w:line="360" w:lineRule="auto"/>
        <w:jc w:val="center"/>
        <w:rPr>
          <w:rFonts w:hint="eastAsia" w:ascii="黑体" w:hAnsi="黑体" w:eastAsia="黑体"/>
          <w:color w:val="0C0C0C"/>
          <w:szCs w:val="21"/>
        </w:rPr>
      </w:pPr>
      <w:r>
        <w:rPr>
          <w:rFonts w:hint="eastAsia" w:ascii="黑体" w:hAnsi="黑体" w:eastAsia="黑体"/>
          <w:color w:val="0C0C0C"/>
          <w:szCs w:val="21"/>
        </w:rPr>
        <w:t>图</w:t>
      </w:r>
      <w:r>
        <w:rPr>
          <w:rFonts w:hint="eastAsia" w:ascii="黑体" w:hAnsi="黑体" w:eastAsia="黑体"/>
          <w:color w:val="0C0C0C"/>
          <w:szCs w:val="21"/>
          <w:lang w:val="en-US" w:eastAsia="zh-CN"/>
        </w:rPr>
        <w:t>5</w:t>
      </w:r>
      <w:r>
        <w:rPr>
          <w:rFonts w:hint="eastAsia" w:ascii="黑体" w:hAnsi="黑体" w:eastAsia="黑体"/>
          <w:color w:val="0C0C0C"/>
          <w:szCs w:val="21"/>
        </w:rPr>
        <w:t xml:space="preserve"> 流量校准的连接方式</w:t>
      </w:r>
    </w:p>
    <w:p>
      <w:pPr>
        <w:spacing w:line="360" w:lineRule="auto"/>
        <w:ind w:firstLine="480"/>
        <w:rPr>
          <w:rFonts w:hint="eastAsia" w:hAnsi="宋体"/>
          <w:sz w:val="24"/>
          <w:lang w:val="en-US" w:eastAsia="zh-CN"/>
        </w:rPr>
      </w:pPr>
      <w:r>
        <w:rPr>
          <w:rFonts w:hint="eastAsia"/>
          <w:sz w:val="24"/>
          <w:lang w:val="en-US" w:eastAsia="zh-CN"/>
        </w:rPr>
        <w:t>流量校准连接方式如图5所示，</w:t>
      </w:r>
      <w:r>
        <w:rPr>
          <w:rFonts w:hint="eastAsia"/>
          <w:sz w:val="24"/>
        </w:rPr>
        <w:t>对于使用检测管或</w:t>
      </w:r>
      <w:r>
        <w:rPr>
          <w:rFonts w:hint="eastAsia"/>
          <w:sz w:val="24"/>
          <w:lang w:val="en-US" w:eastAsia="zh-CN"/>
        </w:rPr>
        <w:t>具有</w:t>
      </w:r>
      <w:r>
        <w:rPr>
          <w:rFonts w:hint="eastAsia"/>
          <w:sz w:val="24"/>
        </w:rPr>
        <w:t>流量测量单元的测量仪，</w:t>
      </w:r>
      <w:r>
        <w:rPr>
          <w:rFonts w:hint="eastAsia" w:hAnsi="宋体"/>
          <w:sz w:val="24"/>
        </w:rPr>
        <w:t>在流量范围的上、中、下选取3个流量</w:t>
      </w:r>
      <w:r>
        <w:rPr>
          <w:rFonts w:hint="eastAsia" w:hAnsi="宋体"/>
          <w:sz w:val="24"/>
          <w:lang w:val="en-US" w:eastAsia="zh-CN"/>
        </w:rPr>
        <w:t>值</w:t>
      </w:r>
      <w:r>
        <w:rPr>
          <w:rFonts w:hint="eastAsia" w:hAnsi="宋体"/>
          <w:sz w:val="24"/>
        </w:rPr>
        <w:t>作为校准点，对于流量固定的</w:t>
      </w:r>
      <w:r>
        <w:rPr>
          <w:rFonts w:hint="eastAsia"/>
          <w:sz w:val="24"/>
        </w:rPr>
        <w:t>测量仪</w:t>
      </w:r>
      <w:r>
        <w:rPr>
          <w:rFonts w:hint="eastAsia" w:hAnsi="宋体"/>
          <w:sz w:val="24"/>
        </w:rPr>
        <w:t>，选取该流量值作为校准点</w:t>
      </w:r>
      <w:r>
        <w:rPr>
          <w:rFonts w:hint="eastAsia" w:hAnsi="宋体"/>
          <w:sz w:val="24"/>
          <w:lang w:eastAsia="zh-CN"/>
        </w:rPr>
        <w:t>。</w:t>
      </w:r>
      <w:r>
        <w:rPr>
          <w:rFonts w:hint="eastAsia" w:hAnsi="宋体"/>
          <w:sz w:val="24"/>
          <w:lang w:val="en-US" w:eastAsia="zh-CN"/>
        </w:rPr>
        <w:t>实验选取实验过程中选取两台德尔格压缩空气质量检测仪用于实验验证，德尔格压缩空气质量检测仪流量为</w:t>
      </w:r>
      <w:r>
        <w:rPr>
          <w:rFonts w:hint="eastAsia" w:ascii="Times New Roman" w:hAnsi="宋体" w:eastAsia="宋体" w:cs="Times New Roman"/>
          <w:sz w:val="24"/>
          <w:lang w:val="en-US" w:eastAsia="zh-CN"/>
        </w:rPr>
        <w:t>CO和CO</w:t>
      </w:r>
      <w:r>
        <w:rPr>
          <w:rFonts w:hint="eastAsia" w:ascii="Times New Roman" w:hAnsi="宋体" w:eastAsia="宋体" w:cs="Times New Roman"/>
          <w:sz w:val="24"/>
          <w:vertAlign w:val="subscript"/>
          <w:lang w:val="en-US" w:eastAsia="zh-CN"/>
        </w:rPr>
        <w:t>2</w:t>
      </w:r>
      <w:r>
        <w:rPr>
          <w:rFonts w:hint="eastAsia" w:ascii="Times New Roman" w:hAnsi="宋体" w:eastAsia="宋体" w:cs="Times New Roman"/>
          <w:sz w:val="24"/>
          <w:lang w:val="en-US" w:eastAsia="zh-CN"/>
        </w:rPr>
        <w:t>是0.2L/min和Oil和H</w:t>
      </w:r>
      <w:r>
        <w:rPr>
          <w:rFonts w:hint="eastAsia" w:ascii="Times New Roman" w:hAnsi="宋体" w:eastAsia="宋体" w:cs="Times New Roman"/>
          <w:sz w:val="24"/>
          <w:vertAlign w:val="subscript"/>
          <w:lang w:val="en-US" w:eastAsia="zh-CN"/>
        </w:rPr>
        <w:t>2</w:t>
      </w:r>
      <w:r>
        <w:rPr>
          <w:rFonts w:hint="eastAsia" w:ascii="Times New Roman" w:hAnsi="宋体" w:eastAsia="宋体" w:cs="Times New Roman"/>
          <w:sz w:val="24"/>
          <w:lang w:val="en-US" w:eastAsia="zh-CN"/>
        </w:rPr>
        <w:t>O</w:t>
      </w:r>
      <w:r>
        <w:rPr>
          <w:rFonts w:hint="eastAsia" w:hAnsi="宋体"/>
          <w:sz w:val="24"/>
          <w:lang w:val="en-US" w:eastAsia="zh-CN"/>
        </w:rPr>
        <w:t>为4L/min，标准器为皂膜流量计、压力表等，详细指标如表1所示。</w:t>
      </w:r>
    </w:p>
    <w:p>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表1.实验过程标准仪器</w:t>
      </w:r>
    </w:p>
    <w:tbl>
      <w:tblPr>
        <w:tblStyle w:val="10"/>
        <w:tblW w:w="763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584"/>
        <w:gridCol w:w="2083"/>
        <w:gridCol w:w="296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00" w:hRule="atLeast"/>
          <w:jc w:val="center"/>
        </w:trPr>
        <w:tc>
          <w:tcPr>
            <w:tcW w:w="2584"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仪器名称</w:t>
            </w:r>
          </w:p>
        </w:tc>
        <w:tc>
          <w:tcPr>
            <w:tcW w:w="208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仪器型号</w:t>
            </w:r>
          </w:p>
        </w:tc>
        <w:tc>
          <w:tcPr>
            <w:tcW w:w="2968"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测量范围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2584"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空气流量测试仪</w:t>
            </w:r>
          </w:p>
        </w:tc>
        <w:tc>
          <w:tcPr>
            <w:tcW w:w="208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AF-3800</w:t>
            </w:r>
          </w:p>
        </w:tc>
        <w:tc>
          <w:tcPr>
            <w:tcW w:w="2968"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（0.001～50）L/min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2584"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皂膜流量计</w:t>
            </w:r>
          </w:p>
        </w:tc>
        <w:tc>
          <w:tcPr>
            <w:tcW w:w="208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5320</w:t>
            </w:r>
          </w:p>
        </w:tc>
        <w:tc>
          <w:tcPr>
            <w:tcW w:w="2968"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(0.05-30)L/min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2584"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数字压力表</w:t>
            </w:r>
          </w:p>
        </w:tc>
        <w:tc>
          <w:tcPr>
            <w:tcW w:w="208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YQ(F)</w:t>
            </w:r>
          </w:p>
        </w:tc>
        <w:tc>
          <w:tcPr>
            <w:tcW w:w="2968"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最大量程1MPa、1.5级</w:t>
            </w:r>
          </w:p>
        </w:tc>
      </w:tr>
    </w:tbl>
    <w:p>
      <w:pPr>
        <w:spacing w:line="360" w:lineRule="auto"/>
        <w:jc w:val="center"/>
        <w:rPr>
          <w:rFonts w:hint="eastAsia" w:ascii="黑体" w:hAnsi="黑体" w:eastAsia="黑体"/>
          <w:color w:val="0C0C0C"/>
          <w:szCs w:val="21"/>
        </w:rPr>
      </w:pPr>
    </w:p>
    <w:p>
      <w:pPr>
        <w:spacing w:line="360" w:lineRule="auto"/>
        <w:ind w:firstLine="480"/>
        <w:rPr>
          <w:rFonts w:hint="default" w:hAnsi="宋体"/>
          <w:sz w:val="24"/>
          <w:lang w:val="en-US" w:eastAsia="zh-CN"/>
        </w:rPr>
      </w:pPr>
      <w:r>
        <w:rPr>
          <w:rFonts w:hint="default" w:hAnsi="宋体"/>
          <w:sz w:val="24"/>
          <w:lang w:val="en-US" w:eastAsia="zh-CN"/>
        </w:rPr>
        <w:drawing>
          <wp:inline distT="0" distB="0" distL="114300" distR="114300">
            <wp:extent cx="4351655" cy="3262630"/>
            <wp:effectExtent l="0" t="0" r="10795" b="13970"/>
            <wp:docPr id="5" name="图片 147" descr="d6e80ef0be97c85ab3e46b161e80b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7" descr="d6e80ef0be97c85ab3e46b161e80bc7"/>
                    <pic:cNvPicPr>
                      <a:picLocks noChangeAspect="1"/>
                    </pic:cNvPicPr>
                  </pic:nvPicPr>
                  <pic:blipFill>
                    <a:blip r:embed="rId11"/>
                    <a:stretch>
                      <a:fillRect/>
                    </a:stretch>
                  </pic:blipFill>
                  <pic:spPr>
                    <a:xfrm>
                      <a:off x="0" y="0"/>
                      <a:ext cx="4351655" cy="3262630"/>
                    </a:xfrm>
                    <a:prstGeom prst="rect">
                      <a:avLst/>
                    </a:prstGeom>
                    <a:noFill/>
                    <a:ln>
                      <a:noFill/>
                    </a:ln>
                  </pic:spPr>
                </pic:pic>
              </a:graphicData>
            </a:graphic>
          </wp:inline>
        </w:drawing>
      </w:r>
    </w:p>
    <w:p>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图6. 流量校准方式</w:t>
      </w:r>
    </w:p>
    <w:p>
      <w:pPr>
        <w:spacing w:line="360" w:lineRule="auto"/>
        <w:ind w:firstLine="480"/>
        <w:jc w:val="left"/>
        <w:rPr>
          <w:rFonts w:hint="default" w:hAnsi="宋体"/>
          <w:sz w:val="24"/>
          <w:lang w:val="en-US" w:eastAsia="zh-CN"/>
        </w:rPr>
      </w:pPr>
      <w:r>
        <w:rPr>
          <w:rFonts w:hint="default" w:hAnsi="宋体"/>
          <w:sz w:val="24"/>
          <w:lang w:val="en-US" w:eastAsia="zh-CN"/>
        </w:rPr>
        <w:drawing>
          <wp:inline distT="0" distB="0" distL="114300" distR="114300">
            <wp:extent cx="2106295" cy="2809240"/>
            <wp:effectExtent l="0" t="0" r="8255" b="10160"/>
            <wp:docPr id="14" name="图片 14" descr="642ebcd5d490f3493ba74f0bb73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42ebcd5d490f3493ba74f0bb738983"/>
                    <pic:cNvPicPr>
                      <a:picLocks noChangeAspect="1"/>
                    </pic:cNvPicPr>
                  </pic:nvPicPr>
                  <pic:blipFill>
                    <a:blip r:embed="rId12"/>
                    <a:stretch>
                      <a:fillRect/>
                    </a:stretch>
                  </pic:blipFill>
                  <pic:spPr>
                    <a:xfrm>
                      <a:off x="0" y="0"/>
                      <a:ext cx="2106295" cy="2809240"/>
                    </a:xfrm>
                    <a:prstGeom prst="rect">
                      <a:avLst/>
                    </a:prstGeom>
                  </pic:spPr>
                </pic:pic>
              </a:graphicData>
            </a:graphic>
          </wp:inline>
        </w:drawing>
      </w:r>
      <w:r>
        <w:rPr>
          <w:rFonts w:hint="eastAsia" w:hAnsi="宋体"/>
          <w:sz w:val="24"/>
          <w:lang w:val="en-US" w:eastAsia="zh-CN"/>
        </w:rPr>
        <w:t xml:space="preserve">  </w:t>
      </w:r>
      <w:r>
        <w:rPr>
          <w:rFonts w:hint="default" w:hAnsi="宋体"/>
          <w:sz w:val="24"/>
          <w:lang w:val="en-US" w:eastAsia="zh-CN"/>
        </w:rPr>
        <w:drawing>
          <wp:inline distT="0" distB="0" distL="114300" distR="114300">
            <wp:extent cx="2417445" cy="2783205"/>
            <wp:effectExtent l="0" t="0" r="1905" b="17145"/>
            <wp:docPr id="6" name="图片 155" descr="d75ff332220f3ab9d9b9fee98e4c7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5" descr="d75ff332220f3ab9d9b9fee98e4c71e"/>
                    <pic:cNvPicPr>
                      <a:picLocks noChangeAspect="1"/>
                    </pic:cNvPicPr>
                  </pic:nvPicPr>
                  <pic:blipFill>
                    <a:blip r:embed="rId13"/>
                    <a:srcRect t="13229" r="-475"/>
                    <a:stretch>
                      <a:fillRect/>
                    </a:stretch>
                  </pic:blipFill>
                  <pic:spPr>
                    <a:xfrm>
                      <a:off x="0" y="0"/>
                      <a:ext cx="2417445" cy="2783205"/>
                    </a:xfrm>
                    <a:prstGeom prst="rect">
                      <a:avLst/>
                    </a:prstGeom>
                    <a:noFill/>
                    <a:ln>
                      <a:noFill/>
                    </a:ln>
                  </pic:spPr>
                </pic:pic>
              </a:graphicData>
            </a:graphic>
          </wp:inline>
        </w:drawing>
      </w:r>
    </w:p>
    <w:p>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 xml:space="preserve">     图7.  压缩空气</w:t>
      </w:r>
      <w:r>
        <w:rPr>
          <w:rFonts w:hint="eastAsia"/>
          <w:sz w:val="24"/>
        </w:rPr>
        <w:t>检测管</w:t>
      </w:r>
      <w:r>
        <w:rPr>
          <w:rFonts w:hint="eastAsia" w:ascii="宋体" w:hAnsi="宋体" w:cs="宋体"/>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图</w:t>
      </w:r>
      <w:r>
        <w:rPr>
          <w:rFonts w:hint="eastAsia" w:ascii="宋体" w:hAnsi="宋体" w:cs="宋体"/>
          <w:i w:val="0"/>
          <w:iCs w:val="0"/>
          <w:color w:val="000000"/>
          <w:kern w:val="0"/>
          <w:sz w:val="21"/>
          <w:szCs w:val="21"/>
          <w:u w:val="none"/>
          <w:lang w:val="en-US" w:eastAsia="zh-CN" w:bidi="ar"/>
        </w:rPr>
        <w:t>8</w:t>
      </w:r>
      <w:r>
        <w:rPr>
          <w:rFonts w:hint="eastAsia" w:ascii="宋体" w:hAnsi="宋体" w:eastAsia="宋体" w:cs="宋体"/>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2"/>
          <w:szCs w:val="22"/>
          <w:u w:val="none"/>
          <w:lang w:val="en-US" w:eastAsia="zh-CN" w:bidi="ar"/>
        </w:rPr>
        <w:t>空气流量测试仪</w:t>
      </w:r>
    </w:p>
    <w:p>
      <w:pPr>
        <w:spacing w:line="360" w:lineRule="auto"/>
        <w:ind w:firstLine="480"/>
        <w:jc w:val="center"/>
        <w:rPr>
          <w:rFonts w:hint="default" w:hAnsi="宋体"/>
          <w:sz w:val="24"/>
          <w:lang w:val="en-US" w:eastAsia="zh-CN"/>
        </w:rPr>
      </w:pPr>
    </w:p>
    <w:p>
      <w:pPr>
        <w:jc w:val="center"/>
        <w:rPr>
          <w:rFonts w:hint="eastAsia" w:ascii="宋体" w:hAnsi="宋体" w:eastAsia="宋体" w:cs="宋体"/>
          <w:i w:val="0"/>
          <w:iCs w:val="0"/>
          <w:color w:val="000000"/>
          <w:kern w:val="0"/>
          <w:sz w:val="21"/>
          <w:szCs w:val="21"/>
          <w:u w:val="none"/>
          <w:lang w:val="en-US" w:eastAsia="zh-CN" w:bidi="ar"/>
        </w:rPr>
      </w:pPr>
    </w:p>
    <w:p>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表2. 流量示值误差实验数据</w:t>
      </w:r>
    </w:p>
    <w:tbl>
      <w:tblPr>
        <w:tblStyle w:val="10"/>
        <w:tblW w:w="6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7"/>
        <w:gridCol w:w="2156"/>
        <w:gridCol w:w="1892"/>
        <w:gridCol w:w="15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通道名称</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流量点（ml/min）</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示值误差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w:t>
            </w:r>
            <w:r>
              <w:rPr>
                <w:rFonts w:hint="eastAsia" w:ascii="宋体" w:hAnsi="宋体" w:eastAsia="宋体" w:cs="宋体"/>
                <w:i w:val="0"/>
                <w:iCs w:val="0"/>
                <w:color w:val="000000"/>
                <w:kern w:val="0"/>
                <w:sz w:val="22"/>
                <w:szCs w:val="22"/>
                <w:u w:val="none"/>
                <w:vertAlign w:val="subscript"/>
                <w:lang w:val="en-US" w:eastAsia="zh-CN" w:bidi="ar"/>
              </w:rPr>
              <w:t>2</w:t>
            </w:r>
            <w:r>
              <w:rPr>
                <w:rFonts w:hint="eastAsia" w:ascii="宋体" w:hAnsi="宋体" w:eastAsia="宋体" w:cs="宋体"/>
                <w:i w:val="0"/>
                <w:iCs w:val="0"/>
                <w:color w:val="000000"/>
                <w:kern w:val="0"/>
                <w:sz w:val="22"/>
                <w:szCs w:val="22"/>
                <w:u w:val="none"/>
                <w:lang w:val="en-US" w:eastAsia="zh-CN" w:bidi="ar"/>
              </w:rPr>
              <w:t>O</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Oil</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r>
              <w:rPr>
                <w:rFonts w:hint="eastAsia" w:ascii="宋体" w:hAnsi="宋体" w:eastAsia="宋体" w:cs="宋体"/>
                <w:i w:val="0"/>
                <w:iCs w:val="0"/>
                <w:color w:val="000000"/>
                <w:kern w:val="0"/>
                <w:sz w:val="22"/>
                <w:szCs w:val="22"/>
                <w:u w:val="none"/>
                <w:vertAlign w:val="subscript"/>
                <w:lang w:val="en-US" w:eastAsia="zh-CN" w:bidi="ar"/>
              </w:rPr>
              <w:t>2</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r>
    </w:tbl>
    <w:p>
      <w:pPr>
        <w:jc w:val="center"/>
        <w:rPr>
          <w:rFonts w:hint="eastAsia" w:ascii="宋体" w:hAnsi="宋体" w:eastAsia="宋体" w:cs="宋体"/>
          <w:i w:val="0"/>
          <w:iCs w:val="0"/>
          <w:color w:val="000000"/>
          <w:kern w:val="0"/>
          <w:sz w:val="21"/>
          <w:szCs w:val="21"/>
          <w:u w:val="none"/>
          <w:lang w:val="en-US" w:eastAsia="zh-CN" w:bidi="ar"/>
        </w:rPr>
      </w:pPr>
    </w:p>
    <w:p>
      <w:pPr>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表3. 流量示值误差实验数据</w:t>
      </w:r>
    </w:p>
    <w:tbl>
      <w:tblPr>
        <w:tblStyle w:val="10"/>
        <w:tblW w:w="6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7"/>
        <w:gridCol w:w="2156"/>
        <w:gridCol w:w="1892"/>
        <w:gridCol w:w="15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通道名称</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流量点（ml/min）</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示值误差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w:t>
            </w:r>
            <w:r>
              <w:rPr>
                <w:rFonts w:hint="eastAsia" w:ascii="宋体" w:hAnsi="宋体" w:eastAsia="宋体" w:cs="宋体"/>
                <w:i w:val="0"/>
                <w:iCs w:val="0"/>
                <w:color w:val="000000"/>
                <w:kern w:val="0"/>
                <w:sz w:val="22"/>
                <w:szCs w:val="22"/>
                <w:u w:val="none"/>
                <w:vertAlign w:val="subscript"/>
                <w:lang w:val="en-US" w:eastAsia="zh-CN" w:bidi="ar"/>
              </w:rPr>
              <w:t>2</w:t>
            </w:r>
            <w:r>
              <w:rPr>
                <w:rFonts w:hint="eastAsia" w:ascii="宋体" w:hAnsi="宋体" w:eastAsia="宋体" w:cs="宋体"/>
                <w:i w:val="0"/>
                <w:iCs w:val="0"/>
                <w:color w:val="000000"/>
                <w:kern w:val="0"/>
                <w:sz w:val="22"/>
                <w:szCs w:val="22"/>
                <w:u w:val="none"/>
                <w:lang w:val="en-US" w:eastAsia="zh-CN" w:bidi="ar"/>
              </w:rPr>
              <w:t>O</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Oil</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24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215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r>
              <w:rPr>
                <w:rFonts w:hint="eastAsia" w:ascii="宋体" w:hAnsi="宋体" w:eastAsia="宋体" w:cs="宋体"/>
                <w:i w:val="0"/>
                <w:iCs w:val="0"/>
                <w:color w:val="000000"/>
                <w:kern w:val="0"/>
                <w:sz w:val="22"/>
                <w:szCs w:val="22"/>
                <w:u w:val="none"/>
                <w:vertAlign w:val="subscript"/>
                <w:lang w:val="en-US" w:eastAsia="zh-CN" w:bidi="ar"/>
              </w:rPr>
              <w:t>2</w:t>
            </w:r>
          </w:p>
        </w:tc>
        <w:tc>
          <w:tcPr>
            <w:tcW w:w="189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50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-0.2</w:t>
            </w:r>
          </w:p>
        </w:tc>
      </w:tr>
    </w:tbl>
    <w:p>
      <w:pPr>
        <w:jc w:val="center"/>
        <w:rPr>
          <w:rFonts w:hint="eastAsia" w:ascii="宋体" w:hAnsi="宋体" w:eastAsia="宋体" w:cs="宋体"/>
          <w:i w:val="0"/>
          <w:iCs w:val="0"/>
          <w:color w:val="000000"/>
          <w:kern w:val="0"/>
          <w:sz w:val="21"/>
          <w:szCs w:val="21"/>
          <w:u w:val="none"/>
          <w:lang w:val="en-US" w:eastAsia="zh-CN" w:bidi="ar"/>
        </w:rPr>
      </w:pPr>
    </w:p>
    <w:p>
      <w:pPr>
        <w:jc w:val="center"/>
        <w:rPr>
          <w:rFonts w:hint="eastAsia" w:hAnsi="宋体"/>
          <w:sz w:val="24"/>
          <w:lang w:val="en-US" w:eastAsia="zh-CN"/>
        </w:rPr>
      </w:pPr>
      <w:r>
        <w:rPr>
          <w:rFonts w:hint="eastAsia" w:ascii="宋体" w:hAnsi="宋体" w:eastAsia="宋体" w:cs="宋体"/>
          <w:i w:val="0"/>
          <w:iCs w:val="0"/>
          <w:color w:val="000000"/>
          <w:kern w:val="0"/>
          <w:sz w:val="21"/>
          <w:szCs w:val="21"/>
          <w:u w:val="none"/>
          <w:lang w:val="en-US" w:eastAsia="zh-CN" w:bidi="ar"/>
        </w:rPr>
        <w:t>表4. 流量重复性实验数据</w:t>
      </w:r>
    </w:p>
    <w:tbl>
      <w:tblPr>
        <w:tblStyle w:val="10"/>
        <w:tblW w:w="878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36"/>
        <w:gridCol w:w="911"/>
        <w:gridCol w:w="926"/>
        <w:gridCol w:w="926"/>
        <w:gridCol w:w="926"/>
        <w:gridCol w:w="926"/>
        <w:gridCol w:w="926"/>
        <w:gridCol w:w="930"/>
        <w:gridCol w:w="943"/>
        <w:gridCol w:w="93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43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911"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通道名称</w:t>
            </w:r>
          </w:p>
        </w:tc>
        <w:tc>
          <w:tcPr>
            <w:tcW w:w="5560" w:type="dxa"/>
            <w:gridSpan w:val="6"/>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测量值（ml/min）</w:t>
            </w:r>
          </w:p>
        </w:tc>
        <w:tc>
          <w:tcPr>
            <w:tcW w:w="94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平均值</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（ml/min）</w:t>
            </w:r>
          </w:p>
        </w:tc>
        <w:tc>
          <w:tcPr>
            <w:tcW w:w="93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重复性(%)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43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11"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w:t>
            </w:r>
            <w:r>
              <w:rPr>
                <w:rFonts w:hint="eastAsia" w:ascii="宋体" w:hAnsi="宋体" w:eastAsia="宋体" w:cs="宋体"/>
                <w:i w:val="0"/>
                <w:iCs w:val="0"/>
                <w:color w:val="000000"/>
                <w:kern w:val="0"/>
                <w:sz w:val="22"/>
                <w:szCs w:val="22"/>
                <w:u w:val="none"/>
                <w:vertAlign w:val="subscript"/>
                <w:lang w:val="en-US" w:eastAsia="zh-CN" w:bidi="ar"/>
              </w:rPr>
              <w:t>2</w:t>
            </w:r>
            <w:r>
              <w:rPr>
                <w:rFonts w:hint="eastAsia" w:ascii="宋体" w:hAnsi="宋体" w:eastAsia="宋体" w:cs="宋体"/>
                <w:i w:val="0"/>
                <w:iCs w:val="0"/>
                <w:color w:val="000000"/>
                <w:kern w:val="0"/>
                <w:sz w:val="22"/>
                <w:szCs w:val="22"/>
                <w:u w:val="none"/>
                <w:lang w:val="en-US" w:eastAsia="zh-CN" w:bidi="ar"/>
              </w:rPr>
              <w:t>O</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4087</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4081</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4079</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4069</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4067</w:t>
            </w:r>
          </w:p>
        </w:tc>
        <w:tc>
          <w:tcPr>
            <w:tcW w:w="9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4066</w:t>
            </w:r>
          </w:p>
        </w:tc>
        <w:tc>
          <w:tcPr>
            <w:tcW w:w="94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4075 </w:t>
            </w:r>
          </w:p>
        </w:tc>
        <w:tc>
          <w:tcPr>
            <w:tcW w:w="93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0.2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43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11"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Oil</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207.8</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207.5</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206.5</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208.5</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207.4</w:t>
            </w:r>
          </w:p>
        </w:tc>
        <w:tc>
          <w:tcPr>
            <w:tcW w:w="9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207.5</w:t>
            </w:r>
          </w:p>
        </w:tc>
        <w:tc>
          <w:tcPr>
            <w:tcW w:w="94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207.5 </w:t>
            </w:r>
          </w:p>
        </w:tc>
        <w:tc>
          <w:tcPr>
            <w:tcW w:w="93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0.3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43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11"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215.6</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211.2</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216.3</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214.1</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211.8</w:t>
            </w:r>
          </w:p>
        </w:tc>
        <w:tc>
          <w:tcPr>
            <w:tcW w:w="9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211.7</w:t>
            </w:r>
          </w:p>
        </w:tc>
        <w:tc>
          <w:tcPr>
            <w:tcW w:w="94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213.5 </w:t>
            </w:r>
          </w:p>
        </w:tc>
        <w:tc>
          <w:tcPr>
            <w:tcW w:w="93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43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11"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CO</w:t>
            </w:r>
            <w:r>
              <w:rPr>
                <w:rFonts w:hint="eastAsia" w:ascii="宋体" w:hAnsi="宋体" w:eastAsia="宋体" w:cs="宋体"/>
                <w:i w:val="0"/>
                <w:iCs w:val="0"/>
                <w:color w:val="000000"/>
                <w:kern w:val="0"/>
                <w:sz w:val="22"/>
                <w:szCs w:val="22"/>
                <w:u w:val="none"/>
                <w:vertAlign w:val="subscript"/>
                <w:lang w:val="en-US" w:eastAsia="zh-CN" w:bidi="ar"/>
              </w:rPr>
              <w:t>2</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4110</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4123</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4109</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4112</w:t>
            </w:r>
          </w:p>
        </w:tc>
        <w:tc>
          <w:tcPr>
            <w:tcW w:w="926"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4105</w:t>
            </w:r>
          </w:p>
        </w:tc>
        <w:tc>
          <w:tcPr>
            <w:tcW w:w="9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4106</w:t>
            </w:r>
          </w:p>
        </w:tc>
        <w:tc>
          <w:tcPr>
            <w:tcW w:w="94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4111 </w:t>
            </w:r>
          </w:p>
        </w:tc>
        <w:tc>
          <w:tcPr>
            <w:tcW w:w="932"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0.2 </w:t>
            </w:r>
          </w:p>
        </w:tc>
      </w:tr>
    </w:tbl>
    <w:p>
      <w:pPr>
        <w:spacing w:line="360" w:lineRule="auto"/>
        <w:ind w:firstLine="480"/>
        <w:rPr>
          <w:rFonts w:hint="eastAsia" w:hAnsi="宋体"/>
          <w:sz w:val="24"/>
          <w:lang w:val="en-US" w:eastAsia="zh-CN"/>
        </w:rPr>
      </w:pPr>
    </w:p>
    <w:p>
      <w:pPr>
        <w:spacing w:line="360" w:lineRule="auto"/>
        <w:ind w:firstLine="480"/>
        <w:rPr>
          <w:rFonts w:hint="eastAsia" w:hAnsi="宋体"/>
          <w:sz w:val="24"/>
          <w:lang w:val="en-US" w:eastAsia="zh-CN"/>
        </w:rPr>
      </w:pPr>
      <w:r>
        <w:rPr>
          <w:rFonts w:hint="eastAsia" w:hAnsi="宋体"/>
          <w:sz w:val="24"/>
          <w:lang w:val="en-US" w:eastAsia="zh-CN"/>
        </w:rPr>
        <w:t>实验过程中，用空压机作为压缩气源时，要注意空压机压力的波动范围要尽量小，不会造成被检仪器的流量的波动，该仪器的流量受调压器压力的调压点影响，因此要尽量按照</w:t>
      </w:r>
      <w:r>
        <w:rPr>
          <w:rFonts w:hint="eastAsia"/>
          <w:sz w:val="24"/>
        </w:rPr>
        <w:t>德尔格</w:t>
      </w:r>
      <w:r>
        <w:rPr>
          <w:rFonts w:hint="eastAsia" w:hAnsi="宋体"/>
          <w:sz w:val="24"/>
          <w:lang w:val="en-US" w:eastAsia="zh-CN"/>
        </w:rPr>
        <w:t>仪器工作要求，进行压力范围调节，校准过程中，要用标准压力表对调压器压力点进行校准，保证仪器工作在压力量程点，因此对于该取样管法在规程中校准方法中，明确要求对压力点的确认。</w:t>
      </w:r>
    </w:p>
    <w:p>
      <w:pPr>
        <w:spacing w:line="360" w:lineRule="auto"/>
        <w:ind w:firstLine="480"/>
        <w:rPr>
          <w:rFonts w:hint="eastAsia" w:ascii="宋体" w:hAnsi="宋体" w:eastAsia="宋体" w:cs="宋体"/>
          <w:i w:val="0"/>
          <w:iCs w:val="0"/>
          <w:color w:val="000000"/>
          <w:kern w:val="0"/>
          <w:sz w:val="24"/>
          <w:szCs w:val="24"/>
          <w:u w:val="none"/>
          <w:lang w:val="en-US" w:eastAsia="zh-CN" w:bidi="ar"/>
        </w:rPr>
      </w:pPr>
      <w:r>
        <w:rPr>
          <w:rFonts w:hint="eastAsia" w:hAnsi="宋体"/>
          <w:sz w:val="24"/>
          <w:lang w:val="en-US" w:eastAsia="zh-CN"/>
        </w:rPr>
        <w:t xml:space="preserve"> 对于某些压缩空气质量测量仪如</w:t>
      </w:r>
      <w:r>
        <w:rPr>
          <w:rFonts w:hint="eastAsia" w:ascii="宋体" w:hAnsi="宋体" w:eastAsia="宋体" w:cs="宋体"/>
          <w:i w:val="0"/>
          <w:iCs w:val="0"/>
          <w:color w:val="000000"/>
          <w:kern w:val="0"/>
          <w:sz w:val="24"/>
          <w:szCs w:val="24"/>
          <w:u w:val="none"/>
          <w:lang w:val="en-US" w:eastAsia="zh-CN" w:bidi="ar"/>
        </w:rPr>
        <w:t>美国PMS高压气体颗粒测量仪，型号为HPGP-101-C PDS-E，其流量参数为2.83L/min，其对工作压力、流量都有严格要求，该仪器主要计量性能是颗粒浓度的准确性，因此该类仪器可不考虑流量计量性能。北京航天鹏诚仪器仪表有限公司生产的氧舱压缩空气质量检测仪，型号为ML-CKH/ML-CKY，其工作测量点为2.83L/min,其流量计为浮子流量计，因此项目组根据规程编制方法要求，对其流量点进行实验验证。</w:t>
      </w:r>
    </w:p>
    <w:p>
      <w:pPr>
        <w:jc w:val="center"/>
        <w:rPr>
          <w:rFonts w:hint="eastAsia" w:ascii="宋体" w:hAnsi="宋体" w:eastAsia="宋体" w:cs="宋体"/>
          <w:i w:val="0"/>
          <w:iCs w:val="0"/>
          <w:color w:val="000000"/>
          <w:kern w:val="0"/>
          <w:sz w:val="21"/>
          <w:szCs w:val="21"/>
          <w:u w:val="none"/>
          <w:lang w:val="en-US" w:eastAsia="zh-CN" w:bidi="ar"/>
        </w:rPr>
      </w:pPr>
    </w:p>
    <w:p>
      <w:pPr>
        <w:jc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1"/>
          <w:szCs w:val="21"/>
          <w:u w:val="none"/>
          <w:lang w:val="en-US" w:eastAsia="zh-CN" w:bidi="ar"/>
        </w:rPr>
        <w:t>表5. 氧舱压缩空气质量检测仪流量示值误差</w:t>
      </w:r>
    </w:p>
    <w:tbl>
      <w:tblPr>
        <w:tblStyle w:val="10"/>
        <w:tblW w:w="675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10"/>
        <w:gridCol w:w="1210"/>
        <w:gridCol w:w="830"/>
        <w:gridCol w:w="930"/>
        <w:gridCol w:w="797"/>
        <w:gridCol w:w="1363"/>
        <w:gridCol w:w="9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7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测量点</w:t>
            </w:r>
          </w:p>
        </w:tc>
        <w:tc>
          <w:tcPr>
            <w:tcW w:w="12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流量点(L/min)</w:t>
            </w:r>
          </w:p>
        </w:tc>
        <w:tc>
          <w:tcPr>
            <w:tcW w:w="2557" w:type="dxa"/>
            <w:gridSpan w:val="3"/>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测量值(L/min)</w:t>
            </w:r>
          </w:p>
        </w:tc>
        <w:tc>
          <w:tcPr>
            <w:tcW w:w="136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平均值(L/min)</w:t>
            </w:r>
          </w:p>
        </w:tc>
        <w:tc>
          <w:tcPr>
            <w:tcW w:w="9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示值误差(%)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7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2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2.83</w:t>
            </w:r>
          </w:p>
        </w:tc>
        <w:tc>
          <w:tcPr>
            <w:tcW w:w="8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2.811</w:t>
            </w:r>
          </w:p>
        </w:tc>
        <w:tc>
          <w:tcPr>
            <w:tcW w:w="93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2.796</w:t>
            </w:r>
          </w:p>
        </w:tc>
        <w:tc>
          <w:tcPr>
            <w:tcW w:w="797"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2.786</w:t>
            </w:r>
          </w:p>
        </w:tc>
        <w:tc>
          <w:tcPr>
            <w:tcW w:w="136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2.798 </w:t>
            </w:r>
          </w:p>
        </w:tc>
        <w:tc>
          <w:tcPr>
            <w:tcW w:w="91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1.2 </w:t>
            </w:r>
          </w:p>
        </w:tc>
      </w:tr>
    </w:tbl>
    <w:p>
      <w:pPr>
        <w:spacing w:line="360" w:lineRule="auto"/>
        <w:ind w:firstLine="480"/>
        <w:rPr>
          <w:rFonts w:hint="default" w:hAnsi="宋体"/>
          <w:sz w:val="24"/>
          <w:lang w:val="en-US" w:eastAsia="zh-CN"/>
        </w:rPr>
      </w:pPr>
    </w:p>
    <w:p>
      <w:pPr>
        <w:spacing w:line="360" w:lineRule="auto"/>
        <w:ind w:firstLine="480" w:firstLineChars="200"/>
        <w:rPr>
          <w:rFonts w:hint="eastAsia" w:hAnsi="宋体"/>
          <w:sz w:val="24"/>
        </w:rPr>
      </w:pPr>
    </w:p>
    <w:p>
      <w:pPr>
        <w:spacing w:line="360" w:lineRule="auto"/>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2.3 颗粒计数效率和颗粒计数重复性</w:t>
      </w:r>
    </w:p>
    <w:p>
      <w:pPr>
        <w:spacing w:line="360" w:lineRule="auto"/>
        <w:ind w:firstLine="480"/>
        <w:rPr>
          <w:rFonts w:hint="eastAsia" w:ascii="Times New Roman" w:hAnsi="宋体" w:eastAsia="宋体" w:cs="Times New Roman"/>
          <w:sz w:val="24"/>
          <w:lang w:val="en-US" w:eastAsia="zh-CN"/>
        </w:rPr>
      </w:pPr>
      <w:r>
        <w:rPr>
          <w:rFonts w:hint="eastAsia" w:ascii="Times New Roman" w:hAnsi="宋体" w:eastAsia="宋体" w:cs="Times New Roman"/>
          <w:sz w:val="24"/>
          <w:lang w:val="en-US" w:eastAsia="zh-CN"/>
        </w:rPr>
        <w:t>压缩空气中可能存在的污染液体、活性和非活性的颗粒，颗粒作为主要污染物对压缩空气质量的等级评价起重要作用，在ISO8573-4《压缩空气-固体颗粒的测定方法》中介绍，通过重量分析、显微镜检查、激光粒子计数器和扫描电子显微镜（SEM）进行分析，可用于测试压缩空气中颗粒污染的方法，然而重量分析法、显微镜检查、招描电子显微镜示方法都需要预先采用滤膜收集单位体积的颗粒总数，然后再到实验室进行称重或显微镜计数，费时费力，可操作性不强，人为因素干扰过大，不能及时反映颗粒粒径的分布和浓度变化情况。传统尘埃粒子计数器采用真空泵将环境中被测气体吸入检测传感器内进行颗粒的粒径识别及计数，如“GB/T 6167-2007尘埃粒子计数器性能试验方法”和“JJF 1190-2008尘埃粒子计数器校准规范”中介绍，将单分散聚苯乙烯乳胶标准粒子雾化产生单分散气溶胶粒子，通过流量调节匹配，实现标准粒子计数与被检粒子计数器的量值溯源，而压缩气体的压力源一般为(0.3-1.0)MPa，</w:t>
      </w:r>
      <w:r>
        <w:rPr>
          <w:rFonts w:hint="eastAsia" w:ascii="宋体" w:hAnsi="宋体" w:eastAsia="宋体" w:cs="宋体"/>
          <w:i w:val="0"/>
          <w:iCs w:val="0"/>
          <w:color w:val="000000"/>
          <w:kern w:val="0"/>
          <w:sz w:val="24"/>
          <w:szCs w:val="24"/>
          <w:u w:val="none"/>
          <w:lang w:val="en-US" w:eastAsia="zh-CN" w:bidi="ar"/>
        </w:rPr>
        <w:t>其颗粒粒径测量范围为0.3μm-10.0μm之间</w:t>
      </w:r>
      <w:r>
        <w:rPr>
          <w:rFonts w:hint="eastAsia"/>
          <w:sz w:val="24"/>
          <w:lang w:val="en-US" w:eastAsia="zh-CN"/>
        </w:rPr>
        <w:t>。</w:t>
      </w:r>
      <w:r>
        <w:rPr>
          <w:rFonts w:hint="eastAsia" w:ascii="Times New Roman" w:hAnsi="宋体" w:eastAsia="宋体" w:cs="Times New Roman"/>
          <w:sz w:val="24"/>
          <w:lang w:val="en-US" w:eastAsia="zh-CN"/>
        </w:rPr>
        <w:t>压缩空气质量测量仪是直接或者通过一个高压扩散器将被检气体传入粒子计数器测量舱内进行颗粒分析测量，因此在仪器颗粒校准过程中，如何产生一个高压且颗粒浓度稳定的单分散气溶胶是项目的难点。</w:t>
      </w:r>
    </w:p>
    <w:p>
      <w:pPr>
        <w:spacing w:line="360" w:lineRule="auto"/>
        <w:ind w:firstLine="480" w:firstLineChars="200"/>
        <w:rPr>
          <w:rFonts w:hint="eastAsia"/>
          <w:sz w:val="24"/>
        </w:rPr>
      </w:pPr>
      <w:r>
        <w:rPr>
          <w:rFonts w:hint="eastAsia" w:hAnsi="宋体"/>
          <w:sz w:val="24"/>
          <w:lang w:val="en-US" w:eastAsia="zh-CN"/>
        </w:rPr>
        <w:t>项目组对市场</w:t>
      </w:r>
      <w:r>
        <w:rPr>
          <w:rFonts w:hint="eastAsia" w:ascii="宋体" w:hAnsi="宋体" w:eastAsia="宋体" w:cs="宋体"/>
          <w:i w:val="0"/>
          <w:iCs w:val="0"/>
          <w:color w:val="000000"/>
          <w:kern w:val="0"/>
          <w:sz w:val="24"/>
          <w:szCs w:val="24"/>
          <w:u w:val="none"/>
          <w:lang w:val="en-US" w:eastAsia="zh-CN" w:bidi="ar"/>
        </w:rPr>
        <w:t>压缩空气质量测量仪中有测量压缩气体颗粒的仪器进行分析，设计一套高压气溶胶发生装置，</w:t>
      </w:r>
      <w:r>
        <w:rPr>
          <w:rFonts w:hint="eastAsia" w:hAnsi="宋体"/>
          <w:sz w:val="24"/>
          <w:lang w:val="en-US" w:eastAsia="zh-CN"/>
        </w:rPr>
        <w:t>其气溶胶发生装置</w:t>
      </w:r>
      <w:r>
        <w:rPr>
          <w:rFonts w:hint="eastAsia" w:hAnsi="宋体"/>
          <w:sz w:val="24"/>
        </w:rPr>
        <w:t>主要由</w:t>
      </w:r>
      <w:r>
        <w:rPr>
          <w:rFonts w:hint="eastAsia" w:hAnsi="宋体"/>
          <w:sz w:val="24"/>
          <w:lang w:val="en-US" w:eastAsia="zh-CN"/>
        </w:rPr>
        <w:t>高压</w:t>
      </w:r>
      <w:r>
        <w:rPr>
          <w:rFonts w:hint="eastAsia" w:hAnsi="宋体"/>
          <w:sz w:val="24"/>
        </w:rPr>
        <w:t>气溶胶发生器、干燥器、气溶胶混匀箱、气溶胶静电分级器（可选）、</w:t>
      </w:r>
      <w:r>
        <w:rPr>
          <w:rFonts w:hint="eastAsia" w:hAnsi="宋体"/>
          <w:color w:val="FF0000"/>
          <w:sz w:val="24"/>
        </w:rPr>
        <w:t>高压扩散器</w:t>
      </w:r>
      <w:r>
        <w:rPr>
          <w:rFonts w:hint="eastAsia" w:hAnsi="宋体"/>
          <w:sz w:val="24"/>
        </w:rPr>
        <w:t>等组成。该装置的输出压力应不低于</w:t>
      </w:r>
      <w:r>
        <w:rPr>
          <w:rFonts w:hint="eastAsia" w:hAnsi="宋体"/>
          <w:color w:val="FF0000"/>
          <w:sz w:val="24"/>
        </w:rPr>
        <w:t>0.3MPa</w:t>
      </w:r>
      <w:r>
        <w:rPr>
          <w:rFonts w:hint="eastAsia" w:hAnsi="宋体"/>
          <w:sz w:val="24"/>
        </w:rPr>
        <w:t>，可产生峰值</w:t>
      </w:r>
      <w:r>
        <w:rPr>
          <w:rFonts w:hint="eastAsia"/>
          <w:sz w:val="24"/>
        </w:rPr>
        <w:t>粒径在</w:t>
      </w:r>
      <w:r>
        <w:rPr>
          <w:rFonts w:hint="eastAsia"/>
          <w:color w:val="FF0000"/>
          <w:sz w:val="24"/>
        </w:rPr>
        <w:t>（0.1~0.6）</w:t>
      </w:r>
      <w:r>
        <w:rPr>
          <w:sz w:val="24"/>
        </w:rPr>
        <w:t>μm</w:t>
      </w:r>
      <w:r>
        <w:rPr>
          <w:rFonts w:hint="eastAsia"/>
          <w:sz w:val="24"/>
        </w:rPr>
        <w:t>、</w:t>
      </w:r>
      <w:r>
        <w:rPr>
          <w:rFonts w:hint="eastAsia" w:hAnsi="宋体"/>
          <w:sz w:val="24"/>
        </w:rPr>
        <w:t>数量浓度不低于</w:t>
      </w:r>
      <w:r>
        <w:rPr>
          <w:rFonts w:hint="eastAsia"/>
          <w:color w:val="FF0000"/>
          <w:sz w:val="24"/>
        </w:rPr>
        <w:t>20000个/L</w:t>
      </w:r>
      <w:r>
        <w:rPr>
          <w:rFonts w:hint="eastAsia"/>
          <w:sz w:val="24"/>
        </w:rPr>
        <w:t>的</w:t>
      </w:r>
      <w:r>
        <w:rPr>
          <w:rFonts w:hint="eastAsia" w:hAnsi="宋体"/>
          <w:sz w:val="24"/>
        </w:rPr>
        <w:t>气溶胶样品</w:t>
      </w:r>
      <w:r>
        <w:rPr>
          <w:rFonts w:hint="eastAsia"/>
          <w:sz w:val="24"/>
        </w:rPr>
        <w:t>，至少应有两个气溶气溶胶采样口，气溶胶样品的浓度稳定性应优于2%/20min。</w:t>
      </w:r>
    </w:p>
    <w:p>
      <w:pPr>
        <w:spacing w:line="360" w:lineRule="auto"/>
        <w:ind w:firstLine="480" w:firstLineChars="200"/>
        <w:rPr>
          <w:rFonts w:hint="default" w:eastAsia="宋体"/>
          <w:sz w:val="24"/>
          <w:lang w:val="en-US" w:eastAsia="zh-CN"/>
        </w:rPr>
      </w:pPr>
      <w:r>
        <w:rPr>
          <w:rFonts w:hint="eastAsia"/>
          <w:sz w:val="24"/>
          <w:lang w:val="en-US" w:eastAsia="zh-CN"/>
        </w:rPr>
        <w:t>其它参考仪器的技术指标如表7所示，标准物质选用</w:t>
      </w:r>
      <w:r>
        <w:rPr>
          <w:rFonts w:hint="eastAsia" w:hAnsi="宋体"/>
          <w:color w:val="000000"/>
          <w:sz w:val="24"/>
        </w:rPr>
        <w:t>聚苯乙烯粒度国家有证标准物质，平均粒径的范</w:t>
      </w:r>
      <w:r>
        <w:rPr>
          <w:rFonts w:hint="eastAsia" w:ascii="Times New Roman" w:hAnsi="Times New Roman" w:eastAsia="宋体" w:cs="Times New Roman"/>
          <w:sz w:val="24"/>
          <w:lang w:val="en-US" w:eastAsia="zh-CN"/>
        </w:rPr>
        <w:t>围（0.1~0.6）μm，</w:t>
      </w:r>
      <w:r>
        <w:rPr>
          <w:rFonts w:hint="eastAsia"/>
          <w:sz w:val="24"/>
        </w:rPr>
        <w:t>且不确定度不超过5%（</w:t>
      </w:r>
      <w:r>
        <w:rPr>
          <w:rFonts w:hint="eastAsia"/>
          <w:i/>
          <w:iCs/>
          <w:sz w:val="24"/>
        </w:rPr>
        <w:t>k</w:t>
      </w:r>
      <w:r>
        <w:rPr>
          <w:rFonts w:hint="eastAsia"/>
          <w:sz w:val="24"/>
        </w:rPr>
        <w:t>=2）</w:t>
      </w:r>
      <w:r>
        <w:rPr>
          <w:rFonts w:hint="eastAsia"/>
          <w:sz w:val="24"/>
          <w:lang w:eastAsia="zh-CN"/>
        </w:rPr>
        <w:t>，</w:t>
      </w:r>
      <w:r>
        <w:rPr>
          <w:rFonts w:hint="eastAsia"/>
          <w:sz w:val="24"/>
          <w:lang w:val="en-US" w:eastAsia="zh-CN"/>
        </w:rPr>
        <w:t>技术指标如表6所示。</w:t>
      </w:r>
    </w:p>
    <w:p>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eastAsia" w:ascii="仿宋" w:hAnsi="仿宋" w:eastAsia="仿宋" w:cs="仿宋"/>
          <w:sz w:val="28"/>
          <w:szCs w:val="28"/>
          <w:lang w:val="en-US" w:eastAsia="zh-CN"/>
        </w:rPr>
      </w:pPr>
      <w:r>
        <w:rPr>
          <w:rFonts w:hint="eastAsia" w:ascii="仿宋" w:hAnsi="仿宋" w:eastAsia="仿宋" w:cs="仿宋"/>
          <w:sz w:val="30"/>
          <w:szCs w:val="30"/>
          <w:lang w:val="en-US" w:eastAsia="zh-CN"/>
        </w:rPr>
        <w:t xml:space="preserve"> </w:t>
      </w:r>
      <w:r>
        <w:rPr>
          <w:rFonts w:hint="eastAsia" w:ascii="仿宋" w:hAnsi="仿宋" w:eastAsia="仿宋" w:cs="仿宋"/>
          <w:sz w:val="28"/>
          <w:szCs w:val="28"/>
          <w:lang w:val="en-US" w:eastAsia="zh-CN"/>
        </w:rPr>
        <w:t xml:space="preserve"> </w:t>
      </w:r>
    </w:p>
    <w:p>
      <w:pPr>
        <w:spacing w:line="360" w:lineRule="auto"/>
        <w:ind w:firstLine="480" w:firstLineChars="200"/>
        <w:jc w:val="center"/>
        <w:rPr>
          <w:rFonts w:hint="default" w:ascii="Times New Roman" w:hAnsi="Times New Roman" w:eastAsia="宋体" w:cs="Times New Roman"/>
          <w:sz w:val="24"/>
          <w:lang w:val="en-US" w:eastAsia="zh-CN"/>
        </w:rPr>
      </w:pPr>
      <w:r>
        <w:rPr>
          <w:rFonts w:hint="eastAsia" w:ascii="Times New Roman" w:hAnsi="Times New Roman" w:eastAsia="宋体" w:cs="Times New Roman"/>
          <w:sz w:val="24"/>
        </w:rPr>
        <w:t>表</w:t>
      </w:r>
      <w:r>
        <w:rPr>
          <w:rFonts w:hint="eastAsia" w:ascii="Times New Roman" w:hAnsi="Times New Roman" w:eastAsia="宋体" w:cs="Times New Roman"/>
          <w:sz w:val="24"/>
          <w:lang w:val="en-US" w:eastAsia="zh-CN"/>
        </w:rPr>
        <w:t>6实验过程主要仪器设备</w:t>
      </w:r>
    </w:p>
    <w:tbl>
      <w:tblPr>
        <w:tblStyle w:val="10"/>
        <w:tblW w:w="934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90"/>
        <w:gridCol w:w="2940"/>
        <w:gridCol w:w="33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309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仪器名称</w:t>
            </w:r>
          </w:p>
        </w:tc>
        <w:tc>
          <w:tcPr>
            <w:tcW w:w="2940"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仪器型号</w:t>
            </w:r>
          </w:p>
        </w:tc>
        <w:tc>
          <w:tcPr>
            <w:tcW w:w="3315"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测量范围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标准粒子发生装置</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F9431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发生粒径：1μm～10μm.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尘埃粒子计数器</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3889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2.83SLM，粒径：(0.3～10)μm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尘埃粒子计数器</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LASAIR Ⅱ </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28.3SLM，粒径：(0.1～10)μm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9"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高压气溶胶雾化器</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ATM210</w:t>
            </w:r>
          </w:p>
        </w:tc>
        <w:tc>
          <w:tcPr>
            <w:tcW w:w="3315"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发生粒径：&lt;2μm,最大雾化压力可达10bar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气溶胶高压扩散器</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bl>
    <w:p>
      <w:pPr>
        <w:spacing w:line="360" w:lineRule="auto"/>
        <w:ind w:firstLine="480" w:firstLineChars="200"/>
        <w:rPr>
          <w:rFonts w:hint="eastAsia" w:hAnsi="宋体"/>
          <w:sz w:val="24"/>
        </w:rPr>
      </w:pPr>
    </w:p>
    <w:p>
      <w:pPr>
        <w:spacing w:line="360" w:lineRule="auto"/>
        <w:ind w:firstLine="480" w:firstLineChars="200"/>
        <w:jc w:val="left"/>
        <w:rPr>
          <w:rFonts w:hint="eastAsia"/>
          <w:sz w:val="24"/>
        </w:rPr>
      </w:pPr>
      <w:r>
        <w:rPr>
          <w:rFonts w:hint="eastAsia"/>
          <w:sz w:val="24"/>
        </w:rPr>
        <w:t>实验选用</w:t>
      </w:r>
      <w:r>
        <w:rPr>
          <w:rFonts w:hint="eastAsia"/>
          <w:sz w:val="24"/>
          <w:lang w:val="en-US" w:eastAsia="zh-CN"/>
        </w:rPr>
        <w:t>3</w:t>
      </w:r>
      <w:r>
        <w:rPr>
          <w:rFonts w:hint="eastAsia"/>
          <w:sz w:val="24"/>
        </w:rPr>
        <w:t>种国家标准物质聚苯乙烯乳胶粒子为气溶发生器的标准物质，其编号分别为GBW12018、 GBW12031、GBW(E)120128</w:t>
      </w:r>
      <w:r>
        <w:rPr>
          <w:rFonts w:hint="eastAsia"/>
          <w:sz w:val="24"/>
          <w:lang w:eastAsia="zh-CN"/>
        </w:rPr>
        <w:t>，</w:t>
      </w:r>
      <w:r>
        <w:rPr>
          <w:rFonts w:hint="eastAsia"/>
          <w:sz w:val="24"/>
        </w:rPr>
        <w:t>其粒径为0.3</w:t>
      </w:r>
      <w:r>
        <w:t>μ</w:t>
      </w:r>
      <w:r>
        <w:rPr>
          <w:rFonts w:hint="eastAsia"/>
          <w:sz w:val="24"/>
        </w:rPr>
        <w:t>m、0.5</w:t>
      </w:r>
      <w:r>
        <w:t>μ</w:t>
      </w:r>
      <w:r>
        <w:rPr>
          <w:rFonts w:hint="eastAsia"/>
          <w:sz w:val="24"/>
        </w:rPr>
        <w:t>m、0.6</w:t>
      </w:r>
      <w:r>
        <w:t>μ</w:t>
      </w:r>
      <w:r>
        <w:rPr>
          <w:rFonts w:hint="eastAsia"/>
          <w:sz w:val="24"/>
        </w:rPr>
        <w:t>m，不确定度分别为2.8nm、4.1nm、4.8 nm。</w:t>
      </w:r>
    </w:p>
    <w:p>
      <w:pPr>
        <w:spacing w:line="360" w:lineRule="auto"/>
        <w:ind w:firstLine="480" w:firstLineChars="200"/>
        <w:jc w:val="center"/>
        <w:rPr>
          <w:rFonts w:hint="eastAsia" w:ascii="Times New Roman" w:hAnsi="Times New Roman" w:eastAsia="宋体" w:cs="Times New Roman"/>
          <w:sz w:val="24"/>
        </w:rPr>
      </w:pPr>
      <w:r>
        <w:rPr>
          <w:rFonts w:hint="eastAsia" w:ascii="Times New Roman" w:hAnsi="Times New Roman" w:eastAsia="宋体" w:cs="Times New Roman"/>
          <w:sz w:val="24"/>
        </w:rPr>
        <w:t>表</w:t>
      </w:r>
      <w:r>
        <w:rPr>
          <w:rFonts w:hint="eastAsia" w:ascii="Times New Roman" w:hAnsi="Times New Roman" w:eastAsia="宋体" w:cs="Times New Roman"/>
          <w:sz w:val="24"/>
          <w:lang w:val="en-US" w:eastAsia="zh-CN"/>
        </w:rPr>
        <w:t>7</w:t>
      </w:r>
      <w:r>
        <w:rPr>
          <w:rFonts w:hint="eastAsia" w:ascii="Times New Roman" w:hAnsi="Times New Roman" w:eastAsia="宋体" w:cs="Times New Roman"/>
          <w:sz w:val="24"/>
        </w:rPr>
        <w:t xml:space="preserve">  所用的粒度标准物质</w:t>
      </w:r>
    </w:p>
    <w:tbl>
      <w:tblPr>
        <w:tblStyle w:val="10"/>
        <w:tblW w:w="82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5"/>
        <w:gridCol w:w="1605"/>
        <w:gridCol w:w="1183"/>
        <w:gridCol w:w="1554"/>
        <w:gridCol w:w="19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5" w:type="dxa"/>
            <w:noWrap w:val="0"/>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标准物质的标称值</w:t>
            </w:r>
          </w:p>
        </w:tc>
        <w:tc>
          <w:tcPr>
            <w:tcW w:w="1605" w:type="dxa"/>
            <w:noWrap w:val="0"/>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标准物质编号</w:t>
            </w:r>
          </w:p>
        </w:tc>
        <w:tc>
          <w:tcPr>
            <w:tcW w:w="1183" w:type="dxa"/>
            <w:noWrap w:val="0"/>
            <w:vAlign w:val="top"/>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标准值</w:t>
            </w:r>
          </w:p>
        </w:tc>
        <w:tc>
          <w:tcPr>
            <w:tcW w:w="1554" w:type="dxa"/>
            <w:noWrap w:val="0"/>
            <w:vAlign w:val="top"/>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不确定度k=2</w:t>
            </w:r>
          </w:p>
        </w:tc>
        <w:tc>
          <w:tcPr>
            <w:tcW w:w="1909" w:type="dxa"/>
            <w:noWrap w:val="0"/>
            <w:vAlign w:val="top"/>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粒径分布误差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5" w:type="dxa"/>
            <w:noWrap w:val="0"/>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300nm</w:t>
            </w:r>
          </w:p>
        </w:tc>
        <w:tc>
          <w:tcPr>
            <w:tcW w:w="1605" w:type="dxa"/>
            <w:noWrap w:val="0"/>
            <w:vAlign w:val="center"/>
          </w:tcPr>
          <w:p>
            <w:pPr>
              <w:spacing w:line="360" w:lineRule="auto"/>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GBW12018</w:t>
            </w:r>
          </w:p>
        </w:tc>
        <w:tc>
          <w:tcPr>
            <w:tcW w:w="1183" w:type="dxa"/>
            <w:noWrap w:val="0"/>
            <w:vAlign w:val="top"/>
          </w:tcPr>
          <w:p>
            <w:pPr>
              <w:spacing w:line="360" w:lineRule="auto"/>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300.8nm</w:t>
            </w:r>
          </w:p>
        </w:tc>
        <w:tc>
          <w:tcPr>
            <w:tcW w:w="1554" w:type="dxa"/>
            <w:noWrap w:val="0"/>
            <w:vAlign w:val="top"/>
          </w:tcPr>
          <w:p>
            <w:pPr>
              <w:spacing w:line="360" w:lineRule="auto"/>
              <w:ind w:firstLine="420" w:firstLineChars="200"/>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2.8nm</w:t>
            </w:r>
          </w:p>
        </w:tc>
        <w:tc>
          <w:tcPr>
            <w:tcW w:w="1909" w:type="dxa"/>
            <w:vMerge w:val="restart"/>
            <w:noWrap w:val="0"/>
            <w:vAlign w:val="center"/>
          </w:tcPr>
          <w:p>
            <w:pPr>
              <w:spacing w:line="360" w:lineRule="auto"/>
              <w:ind w:firstLine="420" w:firstLineChars="200"/>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5" w:type="dxa"/>
            <w:noWrap w:val="0"/>
            <w:vAlign w:val="center"/>
          </w:tcPr>
          <w:p>
            <w:pPr>
              <w:spacing w:line="360" w:lineRule="auto"/>
              <w:jc w:val="center"/>
              <w:rPr>
                <w:sz w:val="21"/>
                <w:szCs w:val="21"/>
              </w:rPr>
            </w:pPr>
            <w:r>
              <w:rPr>
                <w:rFonts w:hint="eastAsia"/>
                <w:sz w:val="21"/>
                <w:szCs w:val="21"/>
              </w:rPr>
              <w:t>500nm</w:t>
            </w:r>
          </w:p>
        </w:tc>
        <w:tc>
          <w:tcPr>
            <w:tcW w:w="1605" w:type="dxa"/>
            <w:noWrap w:val="0"/>
            <w:vAlign w:val="center"/>
          </w:tcPr>
          <w:p>
            <w:pPr>
              <w:spacing w:line="360" w:lineRule="auto"/>
              <w:jc w:val="center"/>
              <w:rPr>
                <w:rFonts w:hint="eastAsia"/>
                <w:sz w:val="21"/>
                <w:szCs w:val="21"/>
              </w:rPr>
            </w:pPr>
            <w:r>
              <w:rPr>
                <w:rFonts w:hint="eastAsia"/>
                <w:sz w:val="21"/>
                <w:szCs w:val="21"/>
              </w:rPr>
              <w:t xml:space="preserve"> GBW12031</w:t>
            </w:r>
          </w:p>
        </w:tc>
        <w:tc>
          <w:tcPr>
            <w:tcW w:w="1183" w:type="dxa"/>
            <w:noWrap w:val="0"/>
            <w:vAlign w:val="top"/>
          </w:tcPr>
          <w:p>
            <w:pPr>
              <w:spacing w:line="360" w:lineRule="auto"/>
              <w:jc w:val="center"/>
              <w:rPr>
                <w:sz w:val="21"/>
                <w:szCs w:val="21"/>
              </w:rPr>
            </w:pPr>
            <w:r>
              <w:rPr>
                <w:rFonts w:hint="eastAsia"/>
                <w:sz w:val="21"/>
                <w:szCs w:val="21"/>
              </w:rPr>
              <w:t>500.67nm</w:t>
            </w:r>
          </w:p>
        </w:tc>
        <w:tc>
          <w:tcPr>
            <w:tcW w:w="1554" w:type="dxa"/>
            <w:noWrap w:val="0"/>
            <w:vAlign w:val="top"/>
          </w:tcPr>
          <w:p>
            <w:pPr>
              <w:spacing w:line="360" w:lineRule="auto"/>
              <w:jc w:val="center"/>
              <w:rPr>
                <w:sz w:val="21"/>
                <w:szCs w:val="21"/>
              </w:rPr>
            </w:pPr>
            <w:r>
              <w:rPr>
                <w:rFonts w:hint="eastAsia"/>
                <w:sz w:val="21"/>
                <w:szCs w:val="21"/>
              </w:rPr>
              <w:t>4.1nm</w:t>
            </w:r>
          </w:p>
        </w:tc>
        <w:tc>
          <w:tcPr>
            <w:tcW w:w="1909" w:type="dxa"/>
            <w:vMerge w:val="continue"/>
            <w:noWrap w:val="0"/>
            <w:vAlign w:val="center"/>
          </w:tcPr>
          <w:p>
            <w:pPr>
              <w:spacing w:line="360" w:lineRule="auto"/>
              <w:jc w:val="center"/>
              <w:rPr>
                <w:rFonts w:hint="eastAsia" w:ascii="宋体" w:hAnsi="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5" w:type="dxa"/>
            <w:noWrap w:val="0"/>
            <w:vAlign w:val="center"/>
          </w:tcPr>
          <w:p>
            <w:pPr>
              <w:spacing w:line="360" w:lineRule="auto"/>
              <w:jc w:val="center"/>
              <w:rPr>
                <w:sz w:val="21"/>
                <w:szCs w:val="21"/>
              </w:rPr>
            </w:pPr>
            <w:r>
              <w:rPr>
                <w:rFonts w:hint="eastAsia"/>
                <w:sz w:val="21"/>
                <w:szCs w:val="21"/>
              </w:rPr>
              <w:t>600nm</w:t>
            </w:r>
          </w:p>
        </w:tc>
        <w:tc>
          <w:tcPr>
            <w:tcW w:w="1605" w:type="dxa"/>
            <w:noWrap w:val="0"/>
            <w:vAlign w:val="center"/>
          </w:tcPr>
          <w:p>
            <w:pPr>
              <w:spacing w:line="360" w:lineRule="auto"/>
              <w:jc w:val="center"/>
              <w:rPr>
                <w:sz w:val="21"/>
                <w:szCs w:val="21"/>
              </w:rPr>
            </w:pPr>
            <w:r>
              <w:rPr>
                <w:rFonts w:hint="eastAsia"/>
                <w:sz w:val="21"/>
                <w:szCs w:val="21"/>
              </w:rPr>
              <w:t>GBW(E)120128</w:t>
            </w:r>
          </w:p>
        </w:tc>
        <w:tc>
          <w:tcPr>
            <w:tcW w:w="1183" w:type="dxa"/>
            <w:noWrap w:val="0"/>
            <w:vAlign w:val="top"/>
          </w:tcPr>
          <w:p>
            <w:pPr>
              <w:spacing w:line="360" w:lineRule="auto"/>
              <w:jc w:val="center"/>
              <w:rPr>
                <w:sz w:val="21"/>
                <w:szCs w:val="21"/>
              </w:rPr>
            </w:pPr>
            <w:r>
              <w:rPr>
                <w:rFonts w:hint="eastAsia"/>
                <w:sz w:val="21"/>
                <w:szCs w:val="21"/>
              </w:rPr>
              <w:t>607.3nm</w:t>
            </w:r>
          </w:p>
        </w:tc>
        <w:tc>
          <w:tcPr>
            <w:tcW w:w="1554" w:type="dxa"/>
            <w:noWrap w:val="0"/>
            <w:vAlign w:val="top"/>
          </w:tcPr>
          <w:p>
            <w:pPr>
              <w:spacing w:line="360" w:lineRule="auto"/>
              <w:jc w:val="center"/>
              <w:rPr>
                <w:sz w:val="21"/>
                <w:szCs w:val="21"/>
              </w:rPr>
            </w:pPr>
            <w:r>
              <w:rPr>
                <w:rFonts w:hint="eastAsia"/>
                <w:sz w:val="21"/>
                <w:szCs w:val="21"/>
              </w:rPr>
              <w:t>4.8 nm</w:t>
            </w:r>
          </w:p>
        </w:tc>
        <w:tc>
          <w:tcPr>
            <w:tcW w:w="1909" w:type="dxa"/>
            <w:vMerge w:val="continue"/>
            <w:noWrap w:val="0"/>
            <w:vAlign w:val="top"/>
          </w:tcPr>
          <w:p>
            <w:pPr>
              <w:spacing w:line="360" w:lineRule="auto"/>
              <w:jc w:val="center"/>
              <w:rPr>
                <w:sz w:val="21"/>
                <w:szCs w:val="21"/>
              </w:rPr>
            </w:pPr>
          </w:p>
        </w:tc>
      </w:tr>
    </w:tbl>
    <w:p>
      <w:pPr>
        <w:rPr>
          <w:rFonts w:hint="eastAsia"/>
        </w:rPr>
      </w:pPr>
    </w:p>
    <w:p>
      <w:pPr>
        <w:spacing w:line="360" w:lineRule="auto"/>
        <w:ind w:firstLine="420" w:firstLineChars="200"/>
        <w:rPr>
          <w:rFonts w:hint="default" w:eastAsia="宋体"/>
          <w:sz w:val="24"/>
          <w:lang w:val="en-US" w:eastAsia="zh-CN"/>
        </w:rPr>
      </w:pPr>
      <w:r>
        <w:rPr>
          <w:rFonts w:hint="eastAsia"/>
          <w:lang w:val="en-US" w:eastAsia="zh-CN"/>
        </w:rPr>
        <w:t xml:space="preserve"> </w:t>
      </w:r>
      <w:r>
        <w:rPr>
          <w:rFonts w:hint="eastAsia" w:ascii="Times New Roman" w:hAnsi="Times New Roman" w:eastAsia="宋体" w:cs="Times New Roman"/>
          <w:sz w:val="24"/>
        </w:rPr>
        <w:t>气溶胶发生装置</w:t>
      </w:r>
      <w:r>
        <w:rPr>
          <w:rFonts w:hint="eastAsia" w:ascii="Times New Roman" w:hAnsi="Times New Roman" w:eastAsia="宋体" w:cs="Times New Roman"/>
          <w:sz w:val="24"/>
          <w:lang w:val="en-US" w:eastAsia="zh-CN"/>
        </w:rPr>
        <w:t>进行</w:t>
      </w:r>
      <w:r>
        <w:rPr>
          <w:rFonts w:hint="eastAsia" w:ascii="Times New Roman" w:hAnsi="Times New Roman" w:eastAsia="宋体" w:cs="Times New Roman"/>
          <w:sz w:val="24"/>
        </w:rPr>
        <w:t>颗粒计数效率校准</w:t>
      </w:r>
      <w:r>
        <w:rPr>
          <w:rFonts w:hint="eastAsia" w:ascii="Times New Roman" w:hAnsi="Times New Roman" w:eastAsia="宋体" w:cs="Times New Roman"/>
          <w:sz w:val="24"/>
          <w:lang w:val="en-US" w:eastAsia="zh-CN"/>
        </w:rPr>
        <w:t>工作原理如</w:t>
      </w:r>
      <w:r>
        <w:rPr>
          <w:rFonts w:hint="eastAsia" w:ascii="Times New Roman" w:hAnsi="Times New Roman" w:eastAsia="宋体" w:cs="Times New Roman"/>
          <w:sz w:val="24"/>
        </w:rPr>
        <w:t>图</w:t>
      </w:r>
      <w:r>
        <w:rPr>
          <w:rFonts w:hint="eastAsia" w:ascii="Times New Roman" w:hAnsi="Times New Roman" w:eastAsia="宋体" w:cs="Times New Roman"/>
          <w:sz w:val="24"/>
          <w:lang w:val="en-US" w:eastAsia="zh-CN"/>
        </w:rPr>
        <w:t>8所示，装置</w:t>
      </w:r>
      <w:r>
        <w:rPr>
          <w:rFonts w:hint="eastAsia" w:ascii="Times New Roman" w:hAnsi="Times New Roman" w:eastAsia="宋体" w:cs="Times New Roman"/>
          <w:sz w:val="24"/>
        </w:rPr>
        <w:t>雾化粒度标准物质并产生气溶胶样品，通过标准物质稀释液浓度、气溶胶发生器流量及压力、洁净空气流量及压力、排空流量等调节，将气溶胶混匀箱内的压力控制在被校</w:t>
      </w:r>
      <w:r>
        <w:rPr>
          <w:rFonts w:hint="eastAsia" w:ascii="Times New Roman" w:hAnsi="Times New Roman" w:eastAsia="宋体" w:cs="Times New Roman"/>
          <w:sz w:val="24"/>
          <w:lang w:val="en-US" w:eastAsia="zh-CN"/>
        </w:rPr>
        <w:t>压缩空气质量测量仪</w:t>
      </w:r>
      <w:r>
        <w:rPr>
          <w:rFonts w:hint="eastAsia" w:ascii="Times New Roman" w:hAnsi="Times New Roman" w:eastAsia="宋体" w:cs="Times New Roman"/>
          <w:sz w:val="24"/>
        </w:rPr>
        <w:t>的工作压力范围内，且将气溶胶混匀箱内的颗粒数量浓度控制在（10000~20000）个/L范围内</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lang w:val="en-US" w:eastAsia="zh-CN"/>
        </w:rPr>
        <w:t>对应的装置图</w:t>
      </w:r>
      <w:r>
        <w:rPr>
          <w:rFonts w:hint="eastAsia" w:cs="Times New Roman"/>
          <w:sz w:val="24"/>
          <w:lang w:val="en-US" w:eastAsia="zh-CN"/>
        </w:rPr>
        <w:t>10</w:t>
      </w:r>
      <w:r>
        <w:rPr>
          <w:rFonts w:hint="eastAsia" w:ascii="Times New Roman" w:hAnsi="Times New Roman" w:eastAsia="宋体" w:cs="Times New Roman"/>
          <w:sz w:val="24"/>
          <w:lang w:val="en-US" w:eastAsia="zh-CN"/>
        </w:rPr>
        <w:t>至图1</w:t>
      </w:r>
      <w:r>
        <w:rPr>
          <w:rFonts w:hint="eastAsia" w:cs="Times New Roman"/>
          <w:sz w:val="24"/>
          <w:lang w:val="en-US" w:eastAsia="zh-CN"/>
        </w:rPr>
        <w:t>3</w:t>
      </w:r>
      <w:r>
        <w:rPr>
          <w:rFonts w:hint="eastAsia" w:ascii="Times New Roman" w:hAnsi="Times New Roman" w:eastAsia="宋体" w:cs="Times New Roman"/>
          <w:sz w:val="24"/>
          <w:lang w:val="en-US" w:eastAsia="zh-CN"/>
        </w:rPr>
        <w:t>所示。</w:t>
      </w:r>
    </w:p>
    <w:p>
      <w:pPr>
        <w:spacing w:line="360" w:lineRule="auto"/>
        <w:jc w:val="center"/>
        <w:rPr>
          <w:rFonts w:hAnsi="宋体"/>
          <w:sz w:val="24"/>
        </w:rPr>
      </w:pPr>
      <w:r>
        <w:rPr>
          <w:rFonts w:hAnsi="宋体"/>
          <w:sz w:val="24"/>
        </w:rPr>
        <w:object>
          <v:shape id="_x0000_i1026" o:spt="75" type="#_x0000_t75" style="height:173.8pt;width:353.35pt;" o:ole="t" filled="f" o:preferrelative="t" stroked="f" coordsize="21600,21600">
            <v:path/>
            <v:fill on="f" focussize="0,0"/>
            <v:stroke on="f"/>
            <v:imagedata r:id="rId15" o:title=""/>
            <o:lock v:ext="edit" aspectratio="f"/>
            <w10:wrap type="none"/>
            <w10:anchorlock/>
          </v:shape>
          <o:OLEObject Type="Embed" ProgID="Visio.Drawing.11" ShapeID="_x0000_i1026" DrawAspect="Content" ObjectID="_1468075726" r:id="rId14">
            <o:LockedField>false</o:LockedField>
          </o:OLEObject>
        </w:object>
      </w:r>
    </w:p>
    <w:p>
      <w:pPr>
        <w:spacing w:line="360" w:lineRule="auto"/>
        <w:jc w:val="center"/>
        <w:rPr>
          <w:rFonts w:hint="eastAsia" w:ascii="黑体" w:hAnsi="黑体" w:eastAsia="黑体"/>
          <w:color w:val="0C0C0C"/>
          <w:szCs w:val="21"/>
        </w:rPr>
      </w:pPr>
      <w:r>
        <w:rPr>
          <w:rFonts w:hint="eastAsia" w:ascii="黑体" w:hAnsi="黑体" w:eastAsia="黑体"/>
          <w:color w:val="0C0C0C"/>
          <w:szCs w:val="21"/>
        </w:rPr>
        <w:t>图</w:t>
      </w:r>
      <w:r>
        <w:rPr>
          <w:rFonts w:hint="eastAsia" w:ascii="黑体" w:hAnsi="黑体" w:eastAsia="黑体"/>
          <w:color w:val="0C0C0C"/>
          <w:szCs w:val="21"/>
          <w:lang w:val="en-US" w:eastAsia="zh-CN"/>
        </w:rPr>
        <w:t>9</w:t>
      </w:r>
      <w:r>
        <w:rPr>
          <w:rFonts w:hint="eastAsia" w:ascii="黑体" w:hAnsi="黑体" w:eastAsia="黑体"/>
          <w:color w:val="0C0C0C"/>
          <w:szCs w:val="21"/>
        </w:rPr>
        <w:t xml:space="preserve"> 颗粒计数效率校准示意图</w:t>
      </w:r>
    </w:p>
    <w:p>
      <w:pPr>
        <w:jc w:val="center"/>
        <w:rPr>
          <w:rFonts w:hint="eastAsia" w:eastAsia="宋体"/>
          <w:sz w:val="24"/>
          <w:lang w:eastAsia="zh-CN"/>
        </w:rPr>
      </w:pPr>
      <w:r>
        <w:rPr>
          <w:rFonts w:hint="eastAsia" w:eastAsia="宋体"/>
          <w:sz w:val="24"/>
          <w:lang w:eastAsia="zh-CN"/>
        </w:rPr>
        <w:drawing>
          <wp:inline distT="0" distB="0" distL="114300" distR="114300">
            <wp:extent cx="3041650" cy="2280920"/>
            <wp:effectExtent l="0" t="0" r="6350" b="5080"/>
            <wp:docPr id="7" name="图片 158" descr="66bf11224cf052ddbdcd3906f769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8" descr="66bf11224cf052ddbdcd3906f7694d8"/>
                    <pic:cNvPicPr>
                      <a:picLocks noChangeAspect="1"/>
                    </pic:cNvPicPr>
                  </pic:nvPicPr>
                  <pic:blipFill>
                    <a:blip r:embed="rId16"/>
                    <a:stretch>
                      <a:fillRect/>
                    </a:stretch>
                  </pic:blipFill>
                  <pic:spPr>
                    <a:xfrm>
                      <a:off x="0" y="0"/>
                      <a:ext cx="3041650" cy="2280920"/>
                    </a:xfrm>
                    <a:prstGeom prst="rect">
                      <a:avLst/>
                    </a:prstGeom>
                    <a:noFill/>
                    <a:ln>
                      <a:noFill/>
                    </a:ln>
                  </pic:spPr>
                </pic:pic>
              </a:graphicData>
            </a:graphic>
          </wp:inline>
        </w:drawing>
      </w:r>
    </w:p>
    <w:p>
      <w:pPr>
        <w:jc w:val="center"/>
        <w:rPr>
          <w:rFonts w:hint="default" w:eastAsia="宋体"/>
          <w:sz w:val="24"/>
          <w:lang w:val="en-US" w:eastAsia="zh-CN"/>
        </w:rPr>
      </w:pPr>
      <w:r>
        <w:rPr>
          <w:rFonts w:hint="eastAsia" w:eastAsia="宋体"/>
          <w:sz w:val="24"/>
          <w:lang w:val="en-US" w:eastAsia="zh-CN"/>
        </w:rPr>
        <w:t>图</w:t>
      </w:r>
      <w:r>
        <w:rPr>
          <w:rFonts w:hint="eastAsia"/>
          <w:sz w:val="24"/>
          <w:lang w:val="en-US" w:eastAsia="zh-CN"/>
        </w:rPr>
        <w:t>10</w:t>
      </w:r>
      <w:r>
        <w:rPr>
          <w:rFonts w:hint="eastAsia" w:eastAsia="宋体"/>
          <w:sz w:val="24"/>
          <w:lang w:val="en-US" w:eastAsia="zh-CN"/>
        </w:rPr>
        <w:t>. 高压气溶胶雾化器</w:t>
      </w:r>
    </w:p>
    <w:p>
      <w:pPr>
        <w:jc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drawing>
          <wp:inline distT="0" distB="0" distL="114300" distR="114300">
            <wp:extent cx="3971290" cy="2978785"/>
            <wp:effectExtent l="0" t="0" r="10160" b="12065"/>
            <wp:docPr id="8" name="图片 120" descr="IMG_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0" descr="IMG_7063"/>
                    <pic:cNvPicPr>
                      <a:picLocks noChangeAspect="1"/>
                    </pic:cNvPicPr>
                  </pic:nvPicPr>
                  <pic:blipFill>
                    <a:blip r:embed="rId17"/>
                    <a:stretch>
                      <a:fillRect/>
                    </a:stretch>
                  </pic:blipFill>
                  <pic:spPr>
                    <a:xfrm>
                      <a:off x="0" y="0"/>
                      <a:ext cx="3971290" cy="2978785"/>
                    </a:xfrm>
                    <a:prstGeom prst="rect">
                      <a:avLst/>
                    </a:prstGeom>
                    <a:noFill/>
                    <a:ln>
                      <a:noFill/>
                    </a:ln>
                  </pic:spPr>
                </pic:pic>
              </a:graphicData>
            </a:graphic>
          </wp:inline>
        </w:drawing>
      </w:r>
    </w:p>
    <w:p>
      <w:pPr>
        <w:jc w:val="cente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图1</w:t>
      </w:r>
      <w:r>
        <w:rPr>
          <w:rFonts w:hint="eastAsia" w:cs="Times New Roman"/>
          <w:sz w:val="24"/>
          <w:lang w:val="en-US" w:eastAsia="zh-CN"/>
        </w:rPr>
        <w:t>1</w:t>
      </w:r>
      <w:r>
        <w:rPr>
          <w:rFonts w:hint="eastAsia" w:ascii="Times New Roman" w:hAnsi="Times New Roman" w:eastAsia="宋体" w:cs="Times New Roman"/>
          <w:sz w:val="24"/>
          <w:lang w:val="en-US" w:eastAsia="zh-CN"/>
        </w:rPr>
        <w:t>.  气溶胶雾化装置</w:t>
      </w:r>
    </w:p>
    <w:p>
      <w:pPr>
        <w:jc w:val="center"/>
        <w:rPr>
          <w:rFonts w:hint="eastAsia" w:ascii="Times New Roman" w:hAnsi="Times New Roman" w:eastAsia="宋体" w:cs="Times New Roman"/>
          <w:sz w:val="24"/>
          <w:lang w:val="en-US" w:eastAsia="zh-CN"/>
        </w:rPr>
      </w:pPr>
    </w:p>
    <w:p>
      <w:pPr>
        <w:spacing w:line="360" w:lineRule="auto"/>
        <w:ind w:firstLine="240" w:firstLineChars="100"/>
        <w:jc w:val="center"/>
        <w:rPr>
          <w:rFonts w:hint="eastAsia" w:eastAsia="宋体"/>
          <w:sz w:val="24"/>
          <w:lang w:eastAsia="zh-CN"/>
        </w:rPr>
      </w:pPr>
    </w:p>
    <w:p>
      <w:pPr>
        <w:spacing w:line="360" w:lineRule="auto"/>
        <w:ind w:firstLine="210" w:firstLineChars="100"/>
        <w:jc w:val="center"/>
      </w:pPr>
      <w:r>
        <w:rPr>
          <w:rFonts w:hint="eastAsia"/>
        </w:rPr>
        <w:drawing>
          <wp:inline distT="0" distB="0" distL="114300" distR="114300">
            <wp:extent cx="2554605" cy="2162810"/>
            <wp:effectExtent l="0" t="0" r="8890" b="17145"/>
            <wp:docPr id="9" name="图片 100" descr="IMG_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0" descr="IMG_7064"/>
                    <pic:cNvPicPr>
                      <a:picLocks noChangeAspect="1"/>
                    </pic:cNvPicPr>
                  </pic:nvPicPr>
                  <pic:blipFill>
                    <a:blip r:embed="rId18"/>
                    <a:stretch>
                      <a:fillRect/>
                    </a:stretch>
                  </pic:blipFill>
                  <pic:spPr>
                    <a:xfrm rot="5400000">
                      <a:off x="0" y="0"/>
                      <a:ext cx="2554605" cy="2162810"/>
                    </a:xfrm>
                    <a:prstGeom prst="rect">
                      <a:avLst/>
                    </a:prstGeom>
                    <a:noFill/>
                    <a:ln>
                      <a:noFill/>
                    </a:ln>
                  </pic:spPr>
                </pic:pic>
              </a:graphicData>
            </a:graphic>
          </wp:inline>
        </w:drawing>
      </w:r>
      <w:r>
        <w:rPr>
          <w:rFonts w:hint="eastAsia"/>
          <w:sz w:val="24"/>
        </w:rPr>
        <w:t xml:space="preserve">       </w:t>
      </w:r>
      <w:r>
        <w:rPr>
          <w:rFonts w:hint="eastAsia"/>
        </w:rPr>
        <w:drawing>
          <wp:inline distT="0" distB="0" distL="114300" distR="114300">
            <wp:extent cx="2137410" cy="2518410"/>
            <wp:effectExtent l="0" t="0" r="15240" b="15240"/>
            <wp:docPr id="10" name="图片 104" descr="cc334b501bcf15044a3d9b68443e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4" descr="cc334b501bcf15044a3d9b68443e64e"/>
                    <pic:cNvPicPr>
                      <a:picLocks noChangeAspect="1"/>
                    </pic:cNvPicPr>
                  </pic:nvPicPr>
                  <pic:blipFill>
                    <a:blip r:embed="rId19"/>
                    <a:stretch>
                      <a:fillRect/>
                    </a:stretch>
                  </pic:blipFill>
                  <pic:spPr>
                    <a:xfrm>
                      <a:off x="0" y="0"/>
                      <a:ext cx="2137410" cy="2518410"/>
                    </a:xfrm>
                    <a:prstGeom prst="rect">
                      <a:avLst/>
                    </a:prstGeom>
                    <a:noFill/>
                    <a:ln>
                      <a:noFill/>
                    </a:ln>
                  </pic:spPr>
                </pic:pic>
              </a:graphicData>
            </a:graphic>
          </wp:inline>
        </w:drawing>
      </w:r>
    </w:p>
    <w:p>
      <w:pPr>
        <w:jc w:val="center"/>
        <w:rPr>
          <w:rFonts w:hint="eastAsia"/>
        </w:rPr>
      </w:pPr>
      <w:r>
        <w:rPr>
          <w:rFonts w:hint="eastAsia"/>
        </w:rPr>
        <w:t xml:space="preserve">    </w:t>
      </w:r>
    </w:p>
    <w:p>
      <w:pPr>
        <w:ind w:firstLine="1050" w:firstLineChars="500"/>
      </w:pPr>
      <w:r>
        <w:rPr>
          <w:rFonts w:hint="eastAsia"/>
        </w:rPr>
        <w:t>图</w:t>
      </w:r>
      <w:r>
        <w:rPr>
          <w:rFonts w:hint="eastAsia"/>
          <w:lang w:val="en-US" w:eastAsia="zh-CN"/>
        </w:rPr>
        <w:t>12</w:t>
      </w:r>
      <w:r>
        <w:rPr>
          <w:rFonts w:hint="eastAsia"/>
        </w:rPr>
        <w:t xml:space="preserve">  2.83SLM粒子计数器               图</w:t>
      </w:r>
      <w:r>
        <w:rPr>
          <w:rFonts w:hint="eastAsia"/>
          <w:lang w:val="en-US" w:eastAsia="zh-CN"/>
        </w:rPr>
        <w:t>13</w:t>
      </w:r>
      <w:r>
        <w:rPr>
          <w:rFonts w:hint="eastAsia"/>
        </w:rPr>
        <w:t xml:space="preserve">  28.3SLM粒子计数</w:t>
      </w:r>
    </w:p>
    <w:p>
      <w:pPr>
        <w:jc w:val="center"/>
        <w:rPr>
          <w:rFonts w:hint="eastAsia" w:ascii="宋体" w:hAnsi="宋体" w:eastAsia="宋体" w:cs="宋体"/>
          <w:sz w:val="28"/>
          <w:szCs w:val="28"/>
          <w:lang w:eastAsia="zh-CN"/>
        </w:rPr>
      </w:pPr>
    </w:p>
    <w:p>
      <w:pPr>
        <w:jc w:val="center"/>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3388360" cy="2540635"/>
            <wp:effectExtent l="0" t="0" r="2540" b="12065"/>
            <wp:docPr id="11" name="图片 122" descr="072d8f4b4935ae33a5bc00a7f9bc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2" descr="072d8f4b4935ae33a5bc00a7f9bc662"/>
                    <pic:cNvPicPr>
                      <a:picLocks noChangeAspect="1"/>
                    </pic:cNvPicPr>
                  </pic:nvPicPr>
                  <pic:blipFill>
                    <a:blip r:embed="rId20"/>
                    <a:stretch>
                      <a:fillRect/>
                    </a:stretch>
                  </pic:blipFill>
                  <pic:spPr>
                    <a:xfrm>
                      <a:off x="0" y="0"/>
                      <a:ext cx="3388360" cy="2540635"/>
                    </a:xfrm>
                    <a:prstGeom prst="rect">
                      <a:avLst/>
                    </a:prstGeom>
                    <a:noFill/>
                    <a:ln>
                      <a:noFill/>
                    </a:ln>
                  </pic:spPr>
                </pic:pic>
              </a:graphicData>
            </a:graphic>
          </wp:inline>
        </w:drawing>
      </w:r>
    </w:p>
    <w:p>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图1</w:t>
      </w:r>
      <w:r>
        <w:rPr>
          <w:rFonts w:hint="eastAsia" w:cs="Times New Roman"/>
          <w:lang w:val="en-US" w:eastAsia="zh-CN"/>
        </w:rPr>
        <w:t>4</w:t>
      </w:r>
      <w:r>
        <w:rPr>
          <w:rFonts w:hint="eastAsia" w:ascii="Times New Roman" w:hAnsi="Times New Roman" w:eastAsia="宋体" w:cs="Times New Roman"/>
          <w:lang w:val="en-US" w:eastAsia="zh-CN"/>
        </w:rPr>
        <w:t>.</w:t>
      </w:r>
      <w:r>
        <w:rPr>
          <w:rFonts w:hint="eastAsia" w:cs="Times New Roman"/>
          <w:lang w:val="en-US" w:eastAsia="zh-CN"/>
        </w:rPr>
        <w:t xml:space="preserve"> </w:t>
      </w:r>
      <w:r>
        <w:rPr>
          <w:rFonts w:hint="eastAsia" w:ascii="Times New Roman" w:hAnsi="Times New Roman" w:eastAsia="宋体" w:cs="Times New Roman"/>
          <w:lang w:val="en-US" w:eastAsia="zh-CN"/>
        </w:rPr>
        <w:t>高压气溶胶扩散器</w:t>
      </w:r>
    </w:p>
    <w:p>
      <w:pPr>
        <w:ind w:firstLine="1050" w:firstLineChars="500"/>
        <w:jc w:val="center"/>
        <w:rPr>
          <w:rFonts w:hint="eastAsia" w:ascii="Times New Roman" w:hAnsi="Times New Roman" w:eastAsia="宋体" w:cs="Times New Roman"/>
          <w:lang w:val="en-US" w:eastAsia="zh-CN"/>
        </w:rPr>
      </w:pPr>
    </w:p>
    <w:p>
      <w:pPr>
        <w:spacing w:line="360" w:lineRule="auto"/>
        <w:ind w:firstLine="562" w:firstLineChars="200"/>
        <w:rPr>
          <w:rFonts w:hint="default"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2.3.1实验一</w:t>
      </w:r>
    </w:p>
    <w:p>
      <w:pPr>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校准装置其雾化后气溶胶浓度的稳定性是发生装置重要技术指标，为了测量定气溶胶发生器的稳定性。选用标称粒径为0.5μm（GBW12031）标准物质，考虑实验条件，在相同的条件下将其进行雾化发生，待浓度稳定后考察气溶胶样品浓度在60min内稳定性，用标准粒子计数器每分钟测量一次，共测量60次，0.5μm粒子雾化后浓度的平均值为147786个/ft3,稳定性优于1%。</w:t>
      </w:r>
    </w:p>
    <w:p>
      <w:pPr>
        <w:spacing w:line="360" w:lineRule="auto"/>
        <w:ind w:firstLine="480" w:firstLineChars="200"/>
        <w:rPr>
          <w:rFonts w:hint="eastAsia" w:ascii="Times New Roman" w:hAnsi="Times New Roman" w:eastAsia="宋体" w:cs="Times New Roman"/>
          <w:sz w:val="24"/>
          <w:szCs w:val="24"/>
          <w:lang w:val="en-US" w:eastAsia="zh-CN"/>
        </w:rPr>
      </w:pPr>
    </w:p>
    <w:p>
      <w:pPr>
        <w:spacing w:line="360" w:lineRule="auto"/>
        <w:ind w:firstLine="480" w:firstLineChars="200"/>
        <w:jc w:val="center"/>
        <w:rPr>
          <w:rFonts w:hint="default" w:ascii="Times New Roman" w:hAnsi="Times New Roman" w:eastAsia="宋体" w:cs="Times New Roman"/>
          <w:sz w:val="24"/>
          <w:szCs w:val="24"/>
          <w:lang w:val="en-US" w:eastAsia="zh-CN"/>
        </w:rPr>
      </w:pPr>
      <w:r>
        <w:rPr>
          <w:rFonts w:hint="eastAsia" w:cs="Times New Roman"/>
          <w:sz w:val="24"/>
          <w:szCs w:val="24"/>
          <w:lang w:val="en-US" w:eastAsia="zh-CN"/>
        </w:rPr>
        <w:t>表8. 高压气溶胶发生装置稳定性测量值</w:t>
      </w:r>
    </w:p>
    <w:tbl>
      <w:tblPr>
        <w:tblStyle w:val="1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1"/>
        <w:gridCol w:w="691"/>
        <w:gridCol w:w="691"/>
        <w:gridCol w:w="691"/>
        <w:gridCol w:w="691"/>
        <w:gridCol w:w="691"/>
        <w:gridCol w:w="691"/>
        <w:gridCol w:w="691"/>
        <w:gridCol w:w="691"/>
        <w:gridCol w:w="691"/>
        <w:gridCol w:w="6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0" w:type="auto"/>
            <w:gridSpan w:val="11"/>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default" w:ascii="等线" w:hAnsi="等线" w:eastAsia="等线" w:cs="等线"/>
                <w:i w:val="0"/>
                <w:iCs w:val="0"/>
                <w:color w:val="000000"/>
                <w:sz w:val="18"/>
                <w:szCs w:val="18"/>
                <w:u w:val="none"/>
                <w:lang w:val="en-US"/>
              </w:rPr>
            </w:pPr>
            <w:r>
              <w:rPr>
                <w:rFonts w:hint="eastAsia" w:ascii="等线" w:hAnsi="等线" w:eastAsia="等线" w:cs="等线"/>
                <w:i w:val="0"/>
                <w:iCs w:val="0"/>
                <w:color w:val="000000"/>
                <w:kern w:val="0"/>
                <w:sz w:val="18"/>
                <w:szCs w:val="18"/>
                <w:u w:val="none"/>
                <w:lang w:val="en-US" w:eastAsia="zh-CN" w:bidi="ar"/>
              </w:rPr>
              <w:t>一小时粒子计数器测量值，粒径为0.5μm，流量28.3L，单位：个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等线" w:hAnsi="等线" w:eastAsia="等线" w:cs="等线"/>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14820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14630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14804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14988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14829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14809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14831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14892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14559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14531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14647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14781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14650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14800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14765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14696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14842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14963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14672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14841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15000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14899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14605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14984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14849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14787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14858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14600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14871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14681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14901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15083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14586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14703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14889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14926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14794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14549</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14620</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14883</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14825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14736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14782</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14947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14794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14934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14764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14781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14948</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14931</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14847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14484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14916</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14715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14804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14557</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14695</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15000</w:t>
            </w:r>
          </w:p>
        </w:tc>
      </w:tr>
    </w:tbl>
    <w:p>
      <w:pPr>
        <w:jc w:val="center"/>
      </w:pPr>
    </w:p>
    <w:p>
      <w:pPr>
        <w:jc w:val="center"/>
      </w:pPr>
      <w:r>
        <w:drawing>
          <wp:inline distT="0" distB="0" distL="114300" distR="114300">
            <wp:extent cx="3965575" cy="1734185"/>
            <wp:effectExtent l="4445" t="4445" r="11430" b="13970"/>
            <wp:docPr id="1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pPr>
        <w:jc w:val="center"/>
        <w:rPr>
          <w:rFonts w:hint="default" w:eastAsia="宋体"/>
          <w:lang w:val="en-US" w:eastAsia="zh-CN"/>
        </w:rPr>
      </w:pPr>
      <w:r>
        <w:rPr>
          <w:rFonts w:hint="eastAsia"/>
          <w:lang w:val="en-US" w:eastAsia="zh-CN"/>
        </w:rPr>
        <w:t>图15. 发生器雾化实验数据</w:t>
      </w:r>
    </w:p>
    <w:p>
      <w:pPr>
        <w:jc w:val="center"/>
      </w:pPr>
    </w:p>
    <w:p>
      <w:pPr>
        <w:jc w:val="center"/>
        <w:rPr>
          <w:rFonts w:hint="eastAsia"/>
          <w:lang w:eastAsia="zh-CN"/>
        </w:rPr>
      </w:pPr>
    </w:p>
    <w:p>
      <w:pPr>
        <w:spacing w:line="360" w:lineRule="auto"/>
        <w:ind w:firstLine="562" w:firstLineChars="200"/>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2.3.2 实验二</w:t>
      </w:r>
    </w:p>
    <w:p>
      <w:pPr>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选用高压气体颗粒测量仪，型号HPGP-101-C PDS-E，进行实验验证。工作时，待气溶胶浓度稳定后，记录标准粒子计数器和被校高压粒子计数器在1min的测量平均值，分别记为</w:t>
      </w:r>
      <m:oMath>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Si</m:t>
            </m:r>
            <m:ctrlPr>
              <w:rPr>
                <w:rFonts w:hint="default" w:ascii="Cambria Math" w:hAnsi="宋体"/>
                <w:i/>
                <w:color w:val="000000"/>
                <w:sz w:val="24"/>
              </w:rPr>
            </m:ctrlPr>
          </m:sub>
        </m:sSub>
      </m:oMath>
      <w:r>
        <w:rPr>
          <w:rFonts w:hint="eastAsia" w:ascii="Times New Roman" w:hAnsi="Times New Roman" w:eastAsia="宋体" w:cs="Times New Roman"/>
          <w:sz w:val="24"/>
          <w:szCs w:val="24"/>
          <w:lang w:val="en-US" w:eastAsia="zh-CN"/>
        </w:rPr>
        <w:t>和</w:t>
      </w:r>
      <m:oMath>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Ti</m:t>
            </m:r>
            <m:ctrlPr>
              <w:rPr>
                <w:rFonts w:hint="default" w:ascii="Cambria Math" w:hAnsi="宋体"/>
                <w:i/>
                <w:color w:val="000000"/>
                <w:sz w:val="24"/>
              </w:rPr>
            </m:ctrlPr>
          </m:sub>
        </m:sSub>
      </m:oMath>
      <w:r>
        <w:rPr>
          <w:rFonts w:hint="eastAsia" w:ascii="Times New Roman" w:hAnsi="Times New Roman" w:eastAsia="宋体" w:cs="Times New Roman"/>
          <w:sz w:val="24"/>
          <w:szCs w:val="24"/>
          <w:lang w:val="en-US" w:eastAsia="zh-CN"/>
        </w:rPr>
        <w:t>，重复上述测量，共计5次，之后将被校高压粒子计数器与标准粒子计数器（含高压扩散器）的位置对调，重复上述测量5次。计算得到10次测量平均值和标准值，分别记为</w:t>
      </w:r>
      <m:oMath>
        <m:sSub>
          <m:sSubPr>
            <m:ctrlPr>
              <w:rPr>
                <w:rFonts w:hint="default" w:ascii="Cambria Math" w:hAnsi="Cambria Math"/>
                <w:sz w:val="24"/>
              </w:rPr>
            </m:ctrlPr>
          </m:sSubPr>
          <m:e>
            <m:acc>
              <m:accPr>
                <m:chr m:val="̅"/>
                <m:ctrlPr>
                  <w:rPr>
                    <w:rFonts w:hint="default" w:ascii="Cambria Math" w:hAnsi="Cambria Math"/>
                    <w:i/>
                    <w:sz w:val="24"/>
                  </w:rPr>
                </m:ctrlPr>
              </m:accPr>
              <m:e>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S</m:t>
                    </m:r>
                    <m:ctrlPr>
                      <w:rPr>
                        <w:rFonts w:hint="default" w:ascii="Cambria Math" w:hAnsi="宋体"/>
                        <w:i/>
                        <w:color w:val="000000"/>
                        <w:sz w:val="24"/>
                      </w:rPr>
                    </m:ctrlPr>
                  </m:sub>
                </m:sSub>
                <m:ctrlPr>
                  <w:rPr>
                    <w:rFonts w:hint="default" w:ascii="Cambria Math" w:hAnsi="Cambria Math"/>
                    <w:i/>
                    <w:sz w:val="24"/>
                  </w:rPr>
                </m:ctrlPr>
              </m:e>
            </m:acc>
            <m:ctrlPr>
              <w:rPr>
                <w:rFonts w:hint="default" w:ascii="Cambria Math" w:hAnsi="Cambria Math"/>
                <w:sz w:val="24"/>
              </w:rPr>
            </m:ctrlPr>
          </m:e>
          <m:sub>
            <m:r>
              <m:rPr>
                <m:sty m:val="p"/>
              </m:rPr>
              <w:rPr>
                <w:rFonts w:hint="default" w:ascii="Cambria Math" w:hAnsi="Cambria Math"/>
                <w:sz w:val="24"/>
              </w:rPr>
              <m:t xml:space="preserve"> </m:t>
            </m:r>
            <m:ctrlPr>
              <w:rPr>
                <w:rFonts w:hint="default" w:ascii="Cambria Math" w:hAnsi="Cambria Math"/>
                <w:sz w:val="24"/>
              </w:rPr>
            </m:ctrlPr>
          </m:sub>
        </m:sSub>
      </m:oMath>
      <w:r>
        <w:rPr>
          <w:rFonts w:hint="eastAsia" w:ascii="Times New Roman" w:hAnsi="Times New Roman" w:eastAsia="宋体" w:cs="Times New Roman"/>
          <w:sz w:val="24"/>
          <w:szCs w:val="24"/>
          <w:lang w:val="en-US" w:eastAsia="zh-CN"/>
        </w:rPr>
        <w:t>和</w:t>
      </w:r>
      <m:oMath>
        <m:sSub>
          <m:sSubPr>
            <m:ctrlPr>
              <w:rPr>
                <w:rFonts w:hint="default" w:ascii="Cambria Math" w:hAnsi="Cambria Math"/>
                <w:sz w:val="24"/>
              </w:rPr>
            </m:ctrlPr>
          </m:sSubPr>
          <m:e>
            <m:acc>
              <m:accPr>
                <m:chr m:val="̅"/>
                <m:ctrlPr>
                  <w:rPr>
                    <w:rFonts w:hint="default" w:ascii="Cambria Math" w:hAnsi="Cambria Math"/>
                    <w:i/>
                    <w:sz w:val="24"/>
                  </w:rPr>
                </m:ctrlPr>
              </m:accPr>
              <m:e>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T</m:t>
                    </m:r>
                    <m:ctrlPr>
                      <w:rPr>
                        <w:rFonts w:hint="default" w:ascii="Cambria Math" w:hAnsi="宋体"/>
                        <w:i/>
                        <w:color w:val="000000"/>
                        <w:sz w:val="24"/>
                      </w:rPr>
                    </m:ctrlPr>
                  </m:sub>
                </m:sSub>
                <m:ctrlPr>
                  <w:rPr>
                    <w:rFonts w:hint="default" w:ascii="Cambria Math" w:hAnsi="Cambria Math"/>
                    <w:i/>
                    <w:sz w:val="24"/>
                  </w:rPr>
                </m:ctrlPr>
              </m:e>
            </m:acc>
            <m:ctrlPr>
              <w:rPr>
                <w:rFonts w:hint="default" w:ascii="Cambria Math" w:hAnsi="Cambria Math"/>
                <w:sz w:val="24"/>
              </w:rPr>
            </m:ctrlPr>
          </m:e>
          <m:sub>
            <m:r>
              <m:rPr>
                <m:sty m:val="p"/>
              </m:rPr>
              <w:rPr>
                <w:rFonts w:hint="default" w:ascii="Cambria Math" w:hAnsi="Cambria Math"/>
                <w:sz w:val="24"/>
              </w:rPr>
              <m:t xml:space="preserve"> </m:t>
            </m:r>
            <m:ctrlPr>
              <w:rPr>
                <w:rFonts w:hint="default" w:ascii="Cambria Math" w:hAnsi="Cambria Math"/>
                <w:sz w:val="24"/>
              </w:rPr>
            </m:ctrlPr>
          </m:sub>
        </m:sSub>
      </m:oMath>
      <w:r>
        <w:rPr>
          <w:rFonts w:hint="eastAsia" w:ascii="Times New Roman" w:hAnsi="Times New Roman" w:eastAsia="宋体" w:cs="Times New Roman"/>
          <w:sz w:val="24"/>
          <w:szCs w:val="24"/>
          <w:lang w:val="en-US" w:eastAsia="zh-CN"/>
        </w:rPr>
        <w:t xml:space="preserve"> 。根据式（</w:t>
      </w:r>
      <w:r>
        <w:rPr>
          <w:rFonts w:hint="eastAsia" w:cs="Times New Roman"/>
          <w:sz w:val="24"/>
          <w:szCs w:val="24"/>
          <w:lang w:val="en-US" w:eastAsia="zh-CN"/>
        </w:rPr>
        <w:t>1</w:t>
      </w:r>
      <w:r>
        <w:rPr>
          <w:rFonts w:hint="eastAsia" w:ascii="Times New Roman" w:hAnsi="Times New Roman" w:eastAsia="宋体" w:cs="Times New Roman"/>
          <w:sz w:val="24"/>
          <w:szCs w:val="24"/>
          <w:lang w:val="en-US" w:eastAsia="zh-CN"/>
        </w:rPr>
        <w:t>）计算得到被校CAQM在此粒径下的颗粒计数效率</w:t>
      </w:r>
      <m:oMath>
        <m:sSub>
          <m:sSubPr>
            <m:ctrlPr>
              <w:rPr>
                <w:rFonts w:hint="default" w:ascii="Cambria Math" w:hAnsi="宋体"/>
                <w:i/>
                <w:color w:val="000000"/>
                <w:sz w:val="24"/>
              </w:rPr>
            </m:ctrlPr>
          </m:sSubPr>
          <m:e>
            <m:r>
              <m:rPr/>
              <w:rPr>
                <w:rFonts w:hint="default" w:ascii="Cambria Math" w:hAnsi="Cambria Math"/>
                <w:color w:val="000000"/>
                <w:sz w:val="24"/>
              </w:rPr>
              <m:t>η</m:t>
            </m:r>
            <m:ctrlPr>
              <w:rPr>
                <w:rFonts w:hint="default" w:ascii="Cambria Math" w:hAnsi="宋体"/>
                <w:i/>
                <w:color w:val="000000"/>
                <w:sz w:val="24"/>
              </w:rPr>
            </m:ctrlPr>
          </m:e>
          <m:sub>
            <m:r>
              <m:rPr>
                <m:sty m:val="p"/>
              </m:rPr>
              <w:rPr>
                <w:rFonts w:hint="default" w:ascii="Cambria Math" w:hAnsi="宋体"/>
                <w:color w:val="000000"/>
                <w:sz w:val="24"/>
              </w:rPr>
              <m:t>C</m:t>
            </m:r>
            <m:ctrlPr>
              <w:rPr>
                <w:rFonts w:hint="default" w:ascii="Cambria Math" w:hAnsi="宋体"/>
                <w:i/>
                <w:color w:val="000000"/>
                <w:sz w:val="24"/>
              </w:rPr>
            </m:ctrlPr>
          </m:sub>
        </m:sSub>
      </m:oMath>
      <w:r>
        <w:rPr>
          <w:rFonts w:hint="eastAsia" w:ascii="Times New Roman" w:hAnsi="Times New Roman" w:eastAsia="宋体" w:cs="Times New Roman"/>
          <w:sz w:val="24"/>
          <w:szCs w:val="24"/>
          <w:lang w:val="en-US" w:eastAsia="zh-CN"/>
        </w:rPr>
        <w:t>。</w:t>
      </w:r>
    </w:p>
    <w:p>
      <w:pPr>
        <w:spacing w:line="360" w:lineRule="auto"/>
        <w:rPr>
          <w:iCs/>
          <w:color w:val="000000"/>
          <w:sz w:val="24"/>
        </w:rPr>
      </w:pPr>
      <m:oMathPara>
        <m:oMathParaPr>
          <m:jc m:val="right"/>
        </m:oMathParaPr>
        <m:oMath>
          <m:sSub>
            <m:sSubPr>
              <m:ctrlPr>
                <w:rPr>
                  <w:rFonts w:hint="default" w:ascii="Cambria Math" w:hAnsi="宋体"/>
                  <w:i/>
                  <w:color w:val="000000"/>
                  <w:sz w:val="24"/>
                </w:rPr>
              </m:ctrlPr>
            </m:sSubPr>
            <m:e>
              <m:r>
                <m:rPr/>
                <w:rPr>
                  <w:rFonts w:hint="default" w:ascii="Cambria Math" w:hAnsi="Cambria Math"/>
                  <w:color w:val="000000"/>
                  <w:sz w:val="24"/>
                </w:rPr>
                <m:t>η</m:t>
              </m:r>
              <m:ctrlPr>
                <w:rPr>
                  <w:rFonts w:hint="default" w:ascii="Cambria Math" w:hAnsi="宋体"/>
                  <w:i/>
                  <w:color w:val="000000"/>
                  <w:sz w:val="24"/>
                </w:rPr>
              </m:ctrlPr>
            </m:e>
            <m:sub>
              <m:r>
                <m:rPr>
                  <m:sty m:val="p"/>
                </m:rPr>
                <w:rPr>
                  <w:rFonts w:hint="default" w:ascii="Cambria Math" w:hAnsi="宋体"/>
                  <w:color w:val="000000"/>
                  <w:sz w:val="24"/>
                </w:rPr>
                <m:t>C</m:t>
              </m:r>
              <m:ctrlPr>
                <w:rPr>
                  <w:rFonts w:hint="default" w:ascii="Cambria Math" w:hAnsi="宋体"/>
                  <w:i/>
                  <w:color w:val="000000"/>
                  <w:sz w:val="24"/>
                </w:rPr>
              </m:ctrlPr>
            </m:sub>
          </m:sSub>
          <m:r>
            <m:rPr/>
            <w:rPr>
              <w:rFonts w:hint="default" w:ascii="Cambria Math" w:hAnsi="宋体"/>
              <w:color w:val="000000"/>
              <w:sz w:val="24"/>
            </w:rPr>
            <m:t>=</m:t>
          </m:r>
          <m:f>
            <m:fPr>
              <m:ctrlPr>
                <w:rPr>
                  <w:rFonts w:hint="default" w:ascii="Cambria Math" w:hAnsi="宋体"/>
                  <w:i/>
                  <w:color w:val="000000"/>
                  <w:sz w:val="24"/>
                </w:rPr>
              </m:ctrlPr>
            </m:fPr>
            <m:num>
              <m:sSub>
                <m:sSubPr>
                  <m:ctrlPr>
                    <w:rPr>
                      <w:rFonts w:hint="default" w:ascii="Cambria Math" w:hAnsi="Cambria Math"/>
                      <w:sz w:val="24"/>
                    </w:rPr>
                  </m:ctrlPr>
                </m:sSubPr>
                <m:e>
                  <m:acc>
                    <m:accPr>
                      <m:chr m:val="̅"/>
                      <m:ctrlPr>
                        <w:rPr>
                          <w:rFonts w:hint="default" w:ascii="Cambria Math" w:hAnsi="Cambria Math"/>
                          <w:i/>
                          <w:sz w:val="24"/>
                        </w:rPr>
                      </m:ctrlPr>
                    </m:accPr>
                    <m:e>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T</m:t>
                          </m:r>
                          <m:ctrlPr>
                            <w:rPr>
                              <w:rFonts w:hint="default" w:ascii="Cambria Math" w:hAnsi="宋体"/>
                              <w:i/>
                              <w:color w:val="000000"/>
                              <w:sz w:val="24"/>
                            </w:rPr>
                          </m:ctrlPr>
                        </m:sub>
                      </m:sSub>
                      <m:ctrlPr>
                        <w:rPr>
                          <w:rFonts w:hint="default" w:ascii="Cambria Math" w:hAnsi="Cambria Math"/>
                          <w:i/>
                          <w:sz w:val="24"/>
                        </w:rPr>
                      </m:ctrlPr>
                    </m:e>
                  </m:acc>
                  <m:ctrlPr>
                    <w:rPr>
                      <w:rFonts w:hint="default" w:ascii="Cambria Math" w:hAnsi="Cambria Math"/>
                      <w:sz w:val="24"/>
                    </w:rPr>
                  </m:ctrlPr>
                </m:e>
                <m:sub>
                  <m:r>
                    <m:rPr>
                      <m:sty m:val="p"/>
                    </m:rPr>
                    <w:rPr>
                      <w:rFonts w:hint="default" w:ascii="Cambria Math" w:hAnsi="Cambria Math"/>
                      <w:sz w:val="24"/>
                    </w:rPr>
                    <m:t xml:space="preserve"> </m:t>
                  </m:r>
                  <m:ctrlPr>
                    <w:rPr>
                      <w:rFonts w:hint="default" w:ascii="Cambria Math" w:hAnsi="Cambria Math"/>
                      <w:sz w:val="24"/>
                    </w:rPr>
                  </m:ctrlPr>
                </m:sub>
              </m:sSub>
              <m:r>
                <m:rPr/>
                <w:rPr>
                  <w:rFonts w:hint="eastAsia" w:ascii="Cambria Math" w:hAnsi="Cambria Math"/>
                  <w:sz w:val="24"/>
                </w:rPr>
                <m:t>×</m:t>
              </m:r>
              <m:sSub>
                <m:sSubPr>
                  <m:ctrlPr>
                    <w:rPr>
                      <w:rFonts w:hint="default" w:ascii="Cambria Math" w:hAnsi="宋体"/>
                      <w:i/>
                      <w:color w:val="000000"/>
                      <w:sz w:val="24"/>
                    </w:rPr>
                  </m:ctrlPr>
                </m:sSubPr>
                <m:e>
                  <m:r>
                    <m:rPr/>
                    <w:rPr>
                      <w:rFonts w:hint="default" w:ascii="Cambria Math" w:hAnsi="Cambria Math"/>
                      <w:color w:val="000000"/>
                      <w:sz w:val="24"/>
                    </w:rPr>
                    <m:t>η</m:t>
                  </m:r>
                  <m:ctrlPr>
                    <w:rPr>
                      <w:rFonts w:hint="default" w:ascii="Cambria Math" w:hAnsi="宋体"/>
                      <w:i/>
                      <w:color w:val="000000"/>
                      <w:sz w:val="24"/>
                    </w:rPr>
                  </m:ctrlPr>
                </m:e>
                <m:sub>
                  <m:r>
                    <m:rPr>
                      <m:sty m:val="p"/>
                    </m:rPr>
                    <w:rPr>
                      <w:rFonts w:hint="default" w:ascii="Cambria Math" w:hAnsi="宋体"/>
                      <w:color w:val="000000"/>
                      <w:sz w:val="24"/>
                    </w:rPr>
                    <m:t>S</m:t>
                  </m:r>
                  <m:ctrlPr>
                    <w:rPr>
                      <w:rFonts w:hint="default" w:ascii="Cambria Math" w:hAnsi="宋体"/>
                      <w:i/>
                      <w:color w:val="000000"/>
                      <w:sz w:val="24"/>
                    </w:rPr>
                  </m:ctrlPr>
                </m:sub>
              </m:sSub>
              <m:ctrlPr>
                <w:rPr>
                  <w:rFonts w:hint="default" w:ascii="Cambria Math" w:hAnsi="宋体"/>
                  <w:i/>
                  <w:color w:val="000000"/>
                  <w:sz w:val="24"/>
                </w:rPr>
              </m:ctrlPr>
            </m:num>
            <m:den>
              <m:sSub>
                <m:sSubPr>
                  <m:ctrlPr>
                    <w:rPr>
                      <w:rFonts w:hint="default" w:ascii="Cambria Math" w:hAnsi="Cambria Math"/>
                      <w:sz w:val="24"/>
                    </w:rPr>
                  </m:ctrlPr>
                </m:sSubPr>
                <m:e>
                  <m:acc>
                    <m:accPr>
                      <m:chr m:val="̅"/>
                      <m:ctrlPr>
                        <w:rPr>
                          <w:rFonts w:hint="default" w:ascii="Cambria Math" w:hAnsi="Cambria Math"/>
                          <w:i/>
                          <w:sz w:val="24"/>
                        </w:rPr>
                      </m:ctrlPr>
                    </m:accPr>
                    <m:e>
                      <m:sSub>
                        <m:sSubPr>
                          <m:ctrlPr>
                            <w:rPr>
                              <w:rFonts w:hint="default" w:ascii="Cambria Math" w:hAnsi="宋体"/>
                              <w:i/>
                              <w:color w:val="000000"/>
                              <w:sz w:val="24"/>
                            </w:rPr>
                          </m:ctrlPr>
                        </m:sSubPr>
                        <m:e>
                          <m:r>
                            <m:rPr/>
                            <w:rPr>
                              <w:rFonts w:hint="default" w:ascii="Cambria Math" w:hAnsi="宋体"/>
                              <w:color w:val="000000"/>
                              <w:sz w:val="24"/>
                            </w:rPr>
                            <m:t>C</m:t>
                          </m:r>
                          <m:ctrlPr>
                            <w:rPr>
                              <w:rFonts w:hint="default" w:ascii="Cambria Math" w:hAnsi="宋体"/>
                              <w:i/>
                              <w:color w:val="000000"/>
                              <w:sz w:val="24"/>
                            </w:rPr>
                          </m:ctrlPr>
                        </m:e>
                        <m:sub>
                          <m:r>
                            <m:rPr>
                              <m:sty m:val="p"/>
                            </m:rPr>
                            <w:rPr>
                              <w:rFonts w:hint="default" w:ascii="Cambria Math" w:hAnsi="宋体"/>
                              <w:color w:val="000000"/>
                              <w:sz w:val="24"/>
                            </w:rPr>
                            <m:t>S</m:t>
                          </m:r>
                          <m:ctrlPr>
                            <w:rPr>
                              <w:rFonts w:hint="default" w:ascii="Cambria Math" w:hAnsi="宋体"/>
                              <w:i/>
                              <w:color w:val="000000"/>
                              <w:sz w:val="24"/>
                            </w:rPr>
                          </m:ctrlPr>
                        </m:sub>
                      </m:sSub>
                      <m:ctrlPr>
                        <w:rPr>
                          <w:rFonts w:hint="default" w:ascii="Cambria Math" w:hAnsi="Cambria Math"/>
                          <w:i/>
                          <w:sz w:val="24"/>
                        </w:rPr>
                      </m:ctrlPr>
                    </m:e>
                  </m:acc>
                  <m:ctrlPr>
                    <w:rPr>
                      <w:rFonts w:hint="default" w:ascii="Cambria Math" w:hAnsi="Cambria Math"/>
                      <w:sz w:val="24"/>
                    </w:rPr>
                  </m:ctrlPr>
                </m:e>
                <m:sub>
                  <m:r>
                    <m:rPr>
                      <m:sty m:val="p"/>
                    </m:rPr>
                    <w:rPr>
                      <w:rFonts w:hint="default" w:ascii="Cambria Math" w:hAnsi="Cambria Math"/>
                      <w:sz w:val="24"/>
                    </w:rPr>
                    <m:t xml:space="preserve"> </m:t>
                  </m:r>
                  <m:ctrlPr>
                    <w:rPr>
                      <w:rFonts w:hint="default" w:ascii="Cambria Math" w:hAnsi="Cambria Math"/>
                      <w:sz w:val="24"/>
                    </w:rPr>
                  </m:ctrlPr>
                </m:sub>
              </m:sSub>
              <m:ctrlPr>
                <w:rPr>
                  <w:rFonts w:hint="default" w:ascii="Cambria Math" w:hAnsi="Cambria Math"/>
                  <w:i/>
                  <w:color w:val="000000"/>
                  <w:sz w:val="24"/>
                </w:rPr>
              </m:ctrlPr>
            </m:den>
          </m:f>
          <m:r>
            <m:rPr/>
            <w:rPr>
              <w:rFonts w:hint="default" w:ascii="Cambria Math" w:hAnsi="宋体"/>
              <w:color w:val="000000"/>
              <w:sz w:val="24"/>
            </w:rPr>
            <m:t xml:space="preserve">×100%                                                   </m:t>
          </m:r>
          <m:r>
            <m:rPr>
              <m:nor/>
              <m:sty m:val="p"/>
            </m:rPr>
            <w:rPr>
              <w:rFonts w:hint="default" w:ascii="宋体" w:hAnsi="宋体"/>
              <w:b w:val="0"/>
              <w:i w:val="0"/>
              <w:iCs/>
              <w:color w:val="000000"/>
              <w:sz w:val="24"/>
            </w:rPr>
            <m:t>(</m:t>
          </m:r>
          <m:r>
            <m:rPr>
              <m:nor/>
              <m:sty m:val="p"/>
            </m:rPr>
            <w:rPr>
              <w:rFonts w:hint="default" w:ascii="Cambria Math" w:hAnsi="宋体"/>
              <w:b w:val="0"/>
              <w:i w:val="0"/>
              <w:iCs/>
              <w:color w:val="000000"/>
              <w:sz w:val="24"/>
              <w:lang w:val="en-US" w:eastAsia="zh-CN"/>
            </w:rPr>
            <m:t>1</m:t>
          </m:r>
          <m:r>
            <m:rPr>
              <m:nor/>
              <m:sty m:val="p"/>
            </m:rPr>
            <w:rPr>
              <w:rFonts w:hint="default" w:ascii="宋体" w:hAnsi="宋体"/>
              <w:b w:val="0"/>
              <w:i w:val="0"/>
              <w:iCs/>
              <w:color w:val="000000"/>
              <w:sz w:val="24"/>
            </w:rPr>
            <m:t>)</m:t>
          </m:r>
        </m:oMath>
      </m:oMathPara>
    </w:p>
    <w:p>
      <w:pPr>
        <w:spacing w:line="360" w:lineRule="auto"/>
        <w:ind w:firstLine="480" w:firstLineChars="200"/>
        <w:jc w:val="left"/>
        <w:rPr>
          <w:sz w:val="24"/>
        </w:rPr>
      </w:pPr>
      <w:r>
        <w:rPr>
          <w:rFonts w:hint="eastAsia"/>
          <w:sz w:val="24"/>
        </w:rPr>
        <w:t>式中：</w:t>
      </w:r>
    </w:p>
    <w:p>
      <w:pPr>
        <w:spacing w:line="360" w:lineRule="auto"/>
        <w:ind w:firstLine="480" w:firstLineChars="200"/>
        <w:jc w:val="left"/>
        <w:rPr>
          <w:sz w:val="24"/>
        </w:rPr>
      </w:pPr>
      <m:oMath>
        <m:sSub>
          <m:sSubPr>
            <m:ctrlPr>
              <w:rPr>
                <w:rFonts w:hint="default" w:ascii="Cambria Math" w:hAnsi="Cambria Math"/>
                <w:sz w:val="24"/>
              </w:rPr>
            </m:ctrlPr>
          </m:sSubPr>
          <m:e>
            <m:r>
              <m:rPr/>
              <w:rPr>
                <w:rFonts w:hint="default" w:ascii="Cambria Math" w:hAnsi="Cambria Math"/>
                <w:sz w:val="24"/>
              </w:rPr>
              <m:t>η</m:t>
            </m:r>
            <m:ctrlPr>
              <w:rPr>
                <w:rFonts w:hint="default" w:ascii="Cambria Math" w:hAnsi="Cambria Math"/>
                <w:sz w:val="24"/>
              </w:rPr>
            </m:ctrlPr>
          </m:e>
          <m:sub>
            <m:r>
              <m:rPr>
                <m:sty m:val="p"/>
              </m:rPr>
              <w:rPr>
                <w:rFonts w:hint="default" w:ascii="Cambria Math" w:hAnsi="Cambria Math"/>
                <w:sz w:val="24"/>
              </w:rPr>
              <m:t>C</m:t>
            </m:r>
            <m:ctrlPr>
              <w:rPr>
                <w:rFonts w:hint="default" w:ascii="Cambria Math" w:hAnsi="Cambria Math"/>
                <w:sz w:val="24"/>
              </w:rPr>
            </m:ctrlPr>
          </m:sub>
        </m:sSub>
      </m:oMath>
      <w:r>
        <w:rPr>
          <w:rFonts w:hint="eastAsia" w:hAnsi="宋体"/>
          <w:sz w:val="24"/>
        </w:rPr>
        <w:t>—</w:t>
      </w:r>
      <w:r>
        <w:rPr>
          <w:rFonts w:hint="eastAsia"/>
          <w:sz w:val="24"/>
        </w:rPr>
        <w:t>被校CAQM</w:t>
      </w:r>
      <w:r>
        <w:rPr>
          <w:rFonts w:hint="eastAsia" w:hAnsi="宋体"/>
          <w:sz w:val="24"/>
        </w:rPr>
        <w:t>测量粒径为D的气溶胶样品的颗粒计数效率，%</w:t>
      </w:r>
      <w:r>
        <w:rPr>
          <w:rFonts w:hint="eastAsia"/>
          <w:sz w:val="24"/>
        </w:rPr>
        <w:t>；</w:t>
      </w:r>
    </w:p>
    <w:p>
      <w:pPr>
        <w:spacing w:line="360" w:lineRule="auto"/>
        <w:ind w:firstLine="480" w:firstLineChars="200"/>
        <w:jc w:val="left"/>
        <w:rPr>
          <w:rFonts w:hint="eastAsia"/>
          <w:sz w:val="24"/>
          <w:lang w:eastAsia="zh-CN"/>
        </w:rPr>
      </w:pPr>
      <m:oMath>
        <m:sSub>
          <m:sSubPr>
            <m:ctrlPr>
              <w:rPr>
                <w:rFonts w:hint="default" w:ascii="Cambria Math" w:hAnsi="Cambria Math"/>
                <w:sz w:val="24"/>
              </w:rPr>
            </m:ctrlPr>
          </m:sSubPr>
          <m:e>
            <m:r>
              <m:rPr/>
              <w:rPr>
                <w:rFonts w:hint="default" w:ascii="Cambria Math" w:hAnsi="Cambria Math"/>
                <w:sz w:val="24"/>
              </w:rPr>
              <m:t>η</m:t>
            </m:r>
            <m:ctrlPr>
              <w:rPr>
                <w:rFonts w:hint="default" w:ascii="Cambria Math" w:hAnsi="Cambria Math"/>
                <w:sz w:val="24"/>
              </w:rPr>
            </m:ctrlPr>
          </m:e>
          <m:sub>
            <m:r>
              <m:rPr>
                <m:sty m:val="p"/>
              </m:rPr>
              <w:rPr>
                <w:rFonts w:hint="default" w:ascii="Cambria Math" w:hAnsi="Cambria Math"/>
                <w:sz w:val="24"/>
              </w:rPr>
              <m:t>S</m:t>
            </m:r>
            <m:ctrlPr>
              <w:rPr>
                <w:rFonts w:hint="default" w:ascii="Cambria Math" w:hAnsi="Cambria Math"/>
                <w:sz w:val="24"/>
              </w:rPr>
            </m:ctrlPr>
          </m:sub>
        </m:sSub>
      </m:oMath>
      <w:r>
        <w:rPr>
          <w:rFonts w:hint="eastAsia" w:hAnsi="宋体"/>
          <w:sz w:val="24"/>
        </w:rPr>
        <w:t>—标准粒子计数器测量粒径为D的气溶胶样品的颗粒计数效率，%</w:t>
      </w:r>
      <w:r>
        <w:rPr>
          <w:rFonts w:hint="eastAsia"/>
          <w:sz w:val="24"/>
          <w:lang w:eastAsia="zh-CN"/>
        </w:rPr>
        <w:t>。</w:t>
      </w:r>
    </w:p>
    <w:p>
      <w:pPr>
        <w:spacing w:line="360" w:lineRule="auto"/>
        <w:jc w:val="center"/>
        <w:rPr>
          <w:rFonts w:hint="default"/>
          <w:color w:val="000000"/>
          <w:sz w:val="24"/>
          <w:lang w:val="en-US" w:eastAsia="zh-CN"/>
        </w:rPr>
      </w:pPr>
      <w:r>
        <w:rPr>
          <w:rFonts w:hint="default"/>
          <w:color w:val="000000"/>
          <w:sz w:val="24"/>
          <w:lang w:val="en-US" w:eastAsia="zh-CN"/>
        </w:rPr>
        <w:drawing>
          <wp:inline distT="0" distB="0" distL="114300" distR="114300">
            <wp:extent cx="3317875" cy="2485390"/>
            <wp:effectExtent l="0" t="0" r="15875" b="10160"/>
            <wp:docPr id="13" name="图片 162" descr="4ff9c738ee3371409392c1a55be4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2" descr="4ff9c738ee3371409392c1a55be41cd"/>
                    <pic:cNvPicPr>
                      <a:picLocks noChangeAspect="1"/>
                    </pic:cNvPicPr>
                  </pic:nvPicPr>
                  <pic:blipFill>
                    <a:blip r:embed="rId22"/>
                    <a:stretch>
                      <a:fillRect/>
                    </a:stretch>
                  </pic:blipFill>
                  <pic:spPr>
                    <a:xfrm>
                      <a:off x="0" y="0"/>
                      <a:ext cx="3317875" cy="2485390"/>
                    </a:xfrm>
                    <a:prstGeom prst="rect">
                      <a:avLst/>
                    </a:prstGeom>
                    <a:noFill/>
                    <a:ln>
                      <a:noFill/>
                    </a:ln>
                  </pic:spPr>
                </pic:pic>
              </a:graphicData>
            </a:graphic>
          </wp:inline>
        </w:drawing>
      </w:r>
    </w:p>
    <w:p>
      <w:pPr>
        <w:jc w:val="center"/>
        <w:rPr>
          <w:rFonts w:hint="default" w:eastAsia="宋体"/>
          <w:lang w:val="en-US" w:eastAsia="zh-CN"/>
        </w:rPr>
      </w:pPr>
      <w:r>
        <w:rPr>
          <w:rFonts w:hint="eastAsia"/>
          <w:color w:val="000000"/>
          <w:sz w:val="24"/>
          <w:lang w:val="en-US" w:eastAsia="zh-CN"/>
        </w:rPr>
        <w:t>图</w:t>
      </w:r>
      <w:r>
        <w:rPr>
          <w:rFonts w:hint="eastAsia"/>
          <w:lang w:val="en-US" w:eastAsia="zh-CN"/>
        </w:rPr>
        <w:t>16. 校准实物图</w:t>
      </w:r>
    </w:p>
    <w:p>
      <w:pPr>
        <w:spacing w:line="360" w:lineRule="auto"/>
        <w:jc w:val="center"/>
        <w:rPr>
          <w:rFonts w:hint="default"/>
          <w:color w:val="000000"/>
          <w:sz w:val="24"/>
          <w:lang w:val="en-US" w:eastAsia="zh-CN"/>
        </w:rPr>
      </w:pPr>
    </w:p>
    <w:p>
      <w:pPr>
        <w:ind w:firstLine="2940" w:firstLineChars="1400"/>
        <w:jc w:val="both"/>
        <w:rPr>
          <w:rFonts w:hint="default"/>
          <w:color w:val="000000"/>
          <w:sz w:val="24"/>
          <w:lang w:val="en-US" w:eastAsia="zh-CN"/>
        </w:rPr>
      </w:pPr>
      <w:r>
        <w:rPr>
          <w:rStyle w:val="23"/>
          <w:rFonts w:hint="eastAsia" w:ascii="宋体" w:hAnsi="宋体"/>
          <w:sz w:val="21"/>
          <w:szCs w:val="21"/>
          <w:lang w:val="en-US" w:eastAsia="zh-CN"/>
        </w:rPr>
        <w:t>表9  颗粒</w:t>
      </w:r>
      <w:r>
        <w:rPr>
          <w:rFonts w:hint="eastAsia"/>
          <w:color w:val="000000"/>
          <w:sz w:val="24"/>
          <w:lang w:val="en-US" w:eastAsia="zh-CN"/>
        </w:rPr>
        <w:t>测量值</w:t>
      </w:r>
    </w:p>
    <w:tbl>
      <w:tblPr>
        <w:tblStyle w:val="10"/>
        <w:tblW w:w="795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69"/>
        <w:gridCol w:w="770"/>
        <w:gridCol w:w="793"/>
        <w:gridCol w:w="793"/>
        <w:gridCol w:w="793"/>
        <w:gridCol w:w="793"/>
        <w:gridCol w:w="793"/>
        <w:gridCol w:w="876"/>
        <w:gridCol w:w="777"/>
        <w:gridCol w:w="79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720" w:hRule="atLeast"/>
        </w:trPr>
        <w:tc>
          <w:tcPr>
            <w:tcW w:w="795" w:type="dxa"/>
            <w:tcBorders>
              <w:top w:val="single" w:color="000000" w:sz="8"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c>
          <w:tcPr>
            <w:tcW w:w="795" w:type="dxa"/>
            <w:tcBorders>
              <w:top w:val="single" w:color="000000" w:sz="8" w:space="0"/>
              <w:left w:val="nil"/>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计数效率</w:t>
            </w:r>
          </w:p>
        </w:tc>
        <w:tc>
          <w:tcPr>
            <w:tcW w:w="3975" w:type="dxa"/>
            <w:gridSpan w:val="5"/>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测量值（P/L)</w:t>
            </w:r>
          </w:p>
        </w:tc>
        <w:tc>
          <w:tcPr>
            <w:tcW w:w="795" w:type="dxa"/>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平均值（P/L)</w:t>
            </w:r>
          </w:p>
        </w:tc>
        <w:tc>
          <w:tcPr>
            <w:tcW w:w="795" w:type="dxa"/>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重复性(%)</w:t>
            </w:r>
          </w:p>
        </w:tc>
        <w:tc>
          <w:tcPr>
            <w:tcW w:w="795" w:type="dxa"/>
            <w:tcBorders>
              <w:top w:val="single" w:color="000000" w:sz="8"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计数效率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795" w:type="dxa"/>
            <w:vMerge w:val="restart"/>
            <w:tcBorders>
              <w:top w:val="single" w:color="000000" w:sz="4"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被测量值</w:t>
            </w:r>
          </w:p>
        </w:tc>
        <w:tc>
          <w:tcPr>
            <w:tcW w:w="795" w:type="dxa"/>
            <w:vMerge w:val="restar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12122</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13480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12319</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12472</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11879</w:t>
            </w:r>
          </w:p>
        </w:tc>
        <w:tc>
          <w:tcPr>
            <w:tcW w:w="79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12333 </w:t>
            </w:r>
          </w:p>
        </w:tc>
        <w:tc>
          <w:tcPr>
            <w:tcW w:w="79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7.2 </w:t>
            </w:r>
          </w:p>
        </w:tc>
        <w:tc>
          <w:tcPr>
            <w:tcW w:w="795" w:type="dxa"/>
            <w:vMerge w:val="restart"/>
            <w:tcBorders>
              <w:top w:val="single" w:color="000000" w:sz="4"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95" w:type="dxa"/>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13155</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11098</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12033</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11099</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13672</w:t>
            </w: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95" w:type="dxa"/>
            <w:vMerge w:val="restart"/>
            <w:tcBorders>
              <w:top w:val="single" w:color="000000" w:sz="4"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标准值</w:t>
            </w:r>
          </w:p>
        </w:tc>
        <w:tc>
          <w:tcPr>
            <w:tcW w:w="795" w:type="dxa"/>
            <w:vMerge w:val="restart"/>
            <w:tcBorders>
              <w:top w:val="single" w:color="000000" w:sz="4" w:space="0"/>
              <w:left w:val="nil"/>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16541</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16831</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16972</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16360</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16176</w:t>
            </w:r>
          </w:p>
        </w:tc>
        <w:tc>
          <w:tcPr>
            <w:tcW w:w="79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16383 </w:t>
            </w:r>
          </w:p>
        </w:tc>
        <w:tc>
          <w:tcPr>
            <w:tcW w:w="79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2.7 </w:t>
            </w:r>
          </w:p>
        </w:tc>
        <w:tc>
          <w:tcPr>
            <w:tcW w:w="795"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95" w:type="dxa"/>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nil"/>
              <w:bottom w:val="single" w:color="000000" w:sz="8"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tcBorders>
              <w:top w:val="single" w:color="000000" w:sz="4" w:space="0"/>
              <w:left w:val="single" w:color="000000" w:sz="4" w:space="0"/>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16333</w:t>
            </w:r>
          </w:p>
        </w:tc>
        <w:tc>
          <w:tcPr>
            <w:tcW w:w="795" w:type="dxa"/>
            <w:tcBorders>
              <w:top w:val="single" w:color="000000" w:sz="4" w:space="0"/>
              <w:left w:val="single" w:color="000000" w:sz="4" w:space="0"/>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16531</w:t>
            </w:r>
          </w:p>
        </w:tc>
        <w:tc>
          <w:tcPr>
            <w:tcW w:w="795" w:type="dxa"/>
            <w:tcBorders>
              <w:top w:val="single" w:color="000000" w:sz="4" w:space="0"/>
              <w:left w:val="single" w:color="000000" w:sz="4" w:space="0"/>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16432</w:t>
            </w:r>
          </w:p>
        </w:tc>
        <w:tc>
          <w:tcPr>
            <w:tcW w:w="795" w:type="dxa"/>
            <w:tcBorders>
              <w:top w:val="single" w:color="000000" w:sz="4" w:space="0"/>
              <w:left w:val="single" w:color="000000" w:sz="4" w:space="0"/>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16321</w:t>
            </w:r>
          </w:p>
        </w:tc>
        <w:tc>
          <w:tcPr>
            <w:tcW w:w="795" w:type="dxa"/>
            <w:tcBorders>
              <w:top w:val="single" w:color="000000" w:sz="4" w:space="0"/>
              <w:left w:val="single" w:color="000000" w:sz="4" w:space="0"/>
              <w:bottom w:val="single" w:color="000000" w:sz="8"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15332</w:t>
            </w: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795"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pPr>
              <w:jc w:val="center"/>
              <w:rPr>
                <w:rFonts w:hint="eastAsia" w:ascii="宋体" w:hAnsi="宋体" w:eastAsia="宋体" w:cs="宋体"/>
                <w:i w:val="0"/>
                <w:iCs w:val="0"/>
                <w:color w:val="000000"/>
                <w:sz w:val="22"/>
                <w:szCs w:val="22"/>
                <w:u w:val="none"/>
              </w:rPr>
            </w:pPr>
          </w:p>
        </w:tc>
      </w:tr>
    </w:tbl>
    <w:p>
      <w:pPr>
        <w:spacing w:line="360" w:lineRule="auto"/>
        <w:jc w:val="left"/>
        <w:rPr>
          <w:rFonts w:hint="eastAsia"/>
          <w:sz w:val="24"/>
          <w:lang w:eastAsia="zh-CN"/>
        </w:rPr>
      </w:pPr>
    </w:p>
    <w:p>
      <w:pPr>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选用氧舱压缩空气质量检测仪进行实验验证，其型号为ML-CKH，标准器选用加野粒子计数器3889，由检测仪前端是通过浮子流量计控制其流量大小，因此工作时要设置好流量计的</w:t>
      </w:r>
      <w:r>
        <w:rPr>
          <w:rFonts w:hint="eastAsia" w:cs="Times New Roman"/>
          <w:sz w:val="24"/>
          <w:szCs w:val="24"/>
          <w:lang w:val="en-US" w:eastAsia="zh-CN"/>
        </w:rPr>
        <w:t>流量点</w:t>
      </w:r>
      <w:r>
        <w:rPr>
          <w:rFonts w:hint="eastAsia" w:ascii="Times New Roman" w:hAnsi="Times New Roman" w:eastAsia="宋体" w:cs="Times New Roman"/>
          <w:sz w:val="24"/>
          <w:szCs w:val="24"/>
          <w:lang w:val="en-US" w:eastAsia="zh-CN"/>
        </w:rPr>
        <w:t>，其测量值如下表所示。</w:t>
      </w:r>
    </w:p>
    <w:p>
      <w:pPr>
        <w:jc w:val="center"/>
        <w:rPr>
          <w:rFonts w:hint="eastAsia" w:ascii="Times New Roman" w:hAnsi="Times New Roman" w:eastAsia="宋体" w:cs="Times New Roman"/>
          <w:sz w:val="24"/>
          <w:szCs w:val="24"/>
          <w:lang w:val="en-US" w:eastAsia="zh-CN"/>
        </w:rPr>
      </w:pPr>
      <w:r>
        <w:rPr>
          <w:rStyle w:val="23"/>
          <w:rFonts w:hint="eastAsia" w:ascii="宋体" w:hAnsi="宋体" w:eastAsia="宋体"/>
          <w:sz w:val="21"/>
          <w:szCs w:val="21"/>
          <w:lang w:val="en-US" w:eastAsia="zh-CN"/>
        </w:rPr>
        <w:t xml:space="preserve">图16 </w:t>
      </w:r>
      <w:r>
        <w:rPr>
          <w:rFonts w:hint="eastAsia"/>
          <w:color w:val="000000"/>
          <w:sz w:val="24"/>
          <w:lang w:val="en-US" w:eastAsia="zh-CN"/>
        </w:rPr>
        <w:t>粒子测量值</w:t>
      </w:r>
    </w:p>
    <w:tbl>
      <w:tblPr>
        <w:tblStyle w:val="10"/>
        <w:tblW w:w="795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6"/>
        <w:gridCol w:w="661"/>
        <w:gridCol w:w="766"/>
        <w:gridCol w:w="766"/>
        <w:gridCol w:w="766"/>
        <w:gridCol w:w="766"/>
        <w:gridCol w:w="766"/>
        <w:gridCol w:w="876"/>
        <w:gridCol w:w="702"/>
        <w:gridCol w:w="7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795" w:type="dxa"/>
            <w:tcBorders>
              <w:top w:val="single" w:color="000000" w:sz="8" w:space="0"/>
              <w:left w:val="single" w:color="000000" w:sz="8"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c>
          <w:tcPr>
            <w:tcW w:w="795" w:type="dxa"/>
            <w:tcBorders>
              <w:top w:val="single" w:color="000000" w:sz="8" w:space="0"/>
              <w:left w:val="nil"/>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计数效率</w:t>
            </w:r>
          </w:p>
        </w:tc>
        <w:tc>
          <w:tcPr>
            <w:tcW w:w="3975" w:type="dxa"/>
            <w:gridSpan w:val="5"/>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测量值（P/L)</w:t>
            </w:r>
          </w:p>
        </w:tc>
        <w:tc>
          <w:tcPr>
            <w:tcW w:w="795" w:type="dxa"/>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平均值（P/L)</w:t>
            </w:r>
          </w:p>
        </w:tc>
        <w:tc>
          <w:tcPr>
            <w:tcW w:w="795" w:type="dxa"/>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重复性(%)</w:t>
            </w:r>
          </w:p>
        </w:tc>
        <w:tc>
          <w:tcPr>
            <w:tcW w:w="795" w:type="dxa"/>
            <w:tcBorders>
              <w:top w:val="single" w:color="000000" w:sz="8"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计数效率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0" w:type="auto"/>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被测量值</w:t>
            </w:r>
          </w:p>
        </w:tc>
        <w:tc>
          <w:tcPr>
            <w:tcW w:w="0" w:type="auto"/>
            <w:vMerge w:val="restar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11231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12256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12002 </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3.7 </w:t>
            </w:r>
          </w:p>
        </w:tc>
        <w:tc>
          <w:tcPr>
            <w:tcW w:w="0" w:type="auto"/>
            <w:vMerge w:val="restart"/>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5"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nil"/>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11982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11315</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8"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0" w:type="auto"/>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标准值</w:t>
            </w:r>
          </w:p>
        </w:tc>
        <w:tc>
          <w:tcPr>
            <w:tcW w:w="0" w:type="auto"/>
            <w:vMerge w:val="restart"/>
            <w:tcBorders>
              <w:top w:val="single" w:color="000000" w:sz="4" w:space="0"/>
              <w:left w:val="nil"/>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18541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17831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17972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18360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18176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18117 </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1.7 </w:t>
            </w:r>
          </w:p>
        </w:tc>
        <w:tc>
          <w:tcPr>
            <w:tcW w:w="0" w:type="auto"/>
            <w:vMerge w:val="continue"/>
            <w:tcBorders>
              <w:top w:val="single" w:color="000000" w:sz="4" w:space="0"/>
              <w:left w:val="single" w:color="000000" w:sz="4" w:space="0"/>
              <w:bottom w:val="single" w:color="000000" w:sz="4" w:space="0"/>
              <w:right w:val="single" w:color="000000" w:sz="8"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nil"/>
              <w:bottom w:val="single" w:color="000000" w:sz="8"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17983</w:t>
            </w: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18126</w:t>
            </w: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18631</w:t>
            </w: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17821</w:t>
            </w: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17732</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0" w:type="auto"/>
            <w:vMerge w:val="continue"/>
            <w:tcBorders>
              <w:top w:val="single" w:color="000000" w:sz="4" w:space="0"/>
              <w:left w:val="single" w:color="000000" w:sz="4" w:space="0"/>
              <w:bottom w:val="single" w:color="000000" w:sz="4" w:space="0"/>
              <w:right w:val="single" w:color="000000" w:sz="8"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r>
    </w:tbl>
    <w:p>
      <w:pPr>
        <w:spacing w:line="360" w:lineRule="auto"/>
        <w:rPr>
          <w:rFonts w:hint="eastAsia" w:ascii="宋体" w:hAnsi="宋体" w:eastAsia="宋体" w:cs="宋体"/>
          <w:b/>
          <w:kern w:val="2"/>
          <w:sz w:val="28"/>
          <w:szCs w:val="28"/>
          <w:lang w:val="en-US" w:eastAsia="zh-CN" w:bidi="ar-SA"/>
        </w:rPr>
      </w:pPr>
      <w:r>
        <w:rPr>
          <w:rFonts w:hint="eastAsia" w:ascii="宋体" w:hAnsi="宋体" w:eastAsia="宋体" w:cs="宋体"/>
          <w:b/>
          <w:kern w:val="2"/>
          <w:sz w:val="28"/>
          <w:szCs w:val="28"/>
          <w:lang w:val="en-US" w:eastAsia="zh-CN" w:bidi="ar-SA"/>
        </w:rPr>
        <w:t xml:space="preserve"> 2.4 湿度示值误差和重复性</w:t>
      </w:r>
    </w:p>
    <w:p>
      <w:pPr>
        <w:ind w:firstLine="480" w:firstLineChars="200"/>
        <w:jc w:val="left"/>
        <w:rPr>
          <w:rFonts w:hint="eastAsia"/>
          <w:sz w:val="24"/>
          <w:lang w:val="en-US" w:eastAsia="zh-CN"/>
        </w:rPr>
      </w:pPr>
      <w:r>
        <w:rPr>
          <w:rFonts w:hint="eastAsia"/>
          <w:sz w:val="24"/>
          <w:lang w:val="en-US" w:eastAsia="zh-CN"/>
        </w:rPr>
        <w:t>湿度的测量方法有很多，比较法是目前较为常见的方法，实验过程采用的测量的标准</w:t>
      </w:r>
      <w:r>
        <w:rPr>
          <w:rFonts w:hint="eastAsia"/>
          <w:sz w:val="24"/>
        </w:rPr>
        <w:t>湿度发生装置</w:t>
      </w:r>
      <w:r>
        <w:rPr>
          <w:rFonts w:hint="eastAsia"/>
          <w:sz w:val="24"/>
          <w:lang w:val="en-US" w:eastAsia="zh-CN"/>
        </w:rPr>
        <w:t>和露点仪如图和表所示。</w:t>
      </w:r>
    </w:p>
    <w:p>
      <w:pPr>
        <w:ind w:firstLine="480" w:firstLineChars="200"/>
        <w:jc w:val="center"/>
        <w:rPr>
          <w:rFonts w:hint="eastAsia"/>
          <w:sz w:val="24"/>
          <w:lang w:val="en-US" w:eastAsia="zh-CN"/>
        </w:rPr>
      </w:pPr>
    </w:p>
    <w:p>
      <w:pPr>
        <w:ind w:firstLine="480" w:firstLineChars="200"/>
        <w:jc w:val="center"/>
        <w:rPr>
          <w:rFonts w:hint="default"/>
          <w:sz w:val="24"/>
          <w:lang w:val="en-US" w:eastAsia="zh-CN"/>
        </w:rPr>
      </w:pPr>
      <w:r>
        <w:rPr>
          <w:rFonts w:hint="eastAsia"/>
          <w:sz w:val="24"/>
          <w:lang w:val="en-US" w:eastAsia="zh-CN"/>
        </w:rPr>
        <w:t>表1.湿度发生</w:t>
      </w:r>
      <w:r>
        <w:rPr>
          <w:rFonts w:hint="eastAsia" w:ascii="Times New Roman" w:hAnsi="Times New Roman" w:eastAsia="宋体" w:cs="Times New Roman"/>
          <w:sz w:val="24"/>
          <w:lang w:val="en-US" w:eastAsia="zh-CN"/>
        </w:rPr>
        <w:t>主要仪器设备</w:t>
      </w:r>
    </w:p>
    <w:tbl>
      <w:tblPr>
        <w:tblStyle w:val="10"/>
        <w:tblW w:w="753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40"/>
        <w:gridCol w:w="2752"/>
        <w:gridCol w:w="27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204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仪器名称</w:t>
            </w:r>
          </w:p>
        </w:tc>
        <w:tc>
          <w:tcPr>
            <w:tcW w:w="2752" w:type="dxa"/>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仪器型号</w:t>
            </w:r>
          </w:p>
        </w:tc>
        <w:tc>
          <w:tcPr>
            <w:tcW w:w="2752" w:type="dxa"/>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测量范围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精密露点仪</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373LX</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露点：(-95～+20)℃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全自动露点发生器</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ADG-3</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露点：</w:t>
            </w:r>
            <w:r>
              <w:rPr>
                <w:rFonts w:hint="eastAsia" w:ascii="宋体" w:hAnsi="宋体" w:eastAsia="宋体" w:cs="宋体"/>
                <w:i w:val="0"/>
                <w:iCs w:val="0"/>
                <w:color w:val="000000"/>
                <w:kern w:val="0"/>
                <w:sz w:val="22"/>
                <w:szCs w:val="22"/>
                <w:u w:val="none"/>
                <w:lang w:val="en-US" w:eastAsia="zh-CN" w:bidi="ar"/>
              </w:rPr>
              <w:t>(-80~+20)℃</w:t>
            </w:r>
          </w:p>
        </w:tc>
      </w:tr>
    </w:tbl>
    <w:p>
      <w:pPr>
        <w:ind w:firstLine="480" w:firstLineChars="200"/>
        <w:jc w:val="left"/>
        <w:rPr>
          <w:rFonts w:hint="eastAsia"/>
          <w:sz w:val="24"/>
          <w:lang w:val="en-US" w:eastAsia="zh-CN"/>
        </w:rPr>
      </w:pPr>
    </w:p>
    <w:p>
      <w:pPr>
        <w:jc w:val="center"/>
        <w:rPr>
          <w:rFonts w:hint="eastAsia"/>
          <w:lang w:eastAsia="zh-CN"/>
        </w:rPr>
      </w:pPr>
      <w:r>
        <w:rPr>
          <w:rFonts w:hint="eastAsia" w:ascii="宋体" w:hAnsi="宋体" w:eastAsia="宋体" w:cs="宋体"/>
          <w:sz w:val="28"/>
          <w:szCs w:val="28"/>
          <w:lang w:eastAsia="zh-CN"/>
        </w:rPr>
        <w:drawing>
          <wp:inline distT="0" distB="0" distL="114300" distR="114300">
            <wp:extent cx="3331210" cy="2499995"/>
            <wp:effectExtent l="0" t="0" r="2540" b="14605"/>
            <wp:docPr id="24" name="图片 108" descr="d55df1b22d9cb6cacc8137542f542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8" descr="d55df1b22d9cb6cacc8137542f542e8"/>
                    <pic:cNvPicPr>
                      <a:picLocks noChangeAspect="1"/>
                    </pic:cNvPicPr>
                  </pic:nvPicPr>
                  <pic:blipFill>
                    <a:blip r:embed="rId23"/>
                    <a:stretch>
                      <a:fillRect/>
                    </a:stretch>
                  </pic:blipFill>
                  <pic:spPr>
                    <a:xfrm>
                      <a:off x="0" y="0"/>
                      <a:ext cx="3331210" cy="2499995"/>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图17. </w:t>
      </w:r>
      <w:r>
        <w:rPr>
          <w:rFonts w:hint="eastAsia"/>
          <w:sz w:val="24"/>
        </w:rPr>
        <w:t>湿度发生装置</w:t>
      </w:r>
    </w:p>
    <w:p>
      <w:pPr>
        <w:spacing w:line="360" w:lineRule="auto"/>
        <w:ind w:firstLine="420" w:firstLineChars="200"/>
        <w:jc w:val="center"/>
        <w:rPr>
          <w:rFonts w:hint="eastAsia"/>
          <w:lang w:eastAsia="zh-CN"/>
        </w:rPr>
      </w:pPr>
      <w:r>
        <w:rPr>
          <w:rFonts w:hint="eastAsia"/>
          <w:lang w:eastAsia="zh-CN"/>
        </w:rPr>
        <w:drawing>
          <wp:inline distT="0" distB="0" distL="114300" distR="114300">
            <wp:extent cx="2619375" cy="3492500"/>
            <wp:effectExtent l="0" t="0" r="9525" b="12700"/>
            <wp:docPr id="25" name="图片 109" descr="9e93344ea49274c6d76c3599e2b96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9" descr="9e93344ea49274c6d76c3599e2b96b8"/>
                    <pic:cNvPicPr>
                      <a:picLocks noChangeAspect="1"/>
                    </pic:cNvPicPr>
                  </pic:nvPicPr>
                  <pic:blipFill>
                    <a:blip r:embed="rId24"/>
                    <a:stretch>
                      <a:fillRect/>
                    </a:stretch>
                  </pic:blipFill>
                  <pic:spPr>
                    <a:xfrm>
                      <a:off x="0" y="0"/>
                      <a:ext cx="2619375" cy="3492500"/>
                    </a:xfrm>
                    <a:prstGeom prst="rect">
                      <a:avLst/>
                    </a:prstGeom>
                    <a:noFill/>
                    <a:ln>
                      <a:noFill/>
                    </a:ln>
                  </pic:spPr>
                </pic:pic>
              </a:graphicData>
            </a:graphic>
          </wp:inline>
        </w:drawing>
      </w:r>
    </w:p>
    <w:p>
      <w:pPr>
        <w:spacing w:line="360" w:lineRule="auto"/>
        <w:ind w:firstLine="420" w:firstLineChars="200"/>
        <w:jc w:val="center"/>
        <w:rPr>
          <w:rFonts w:hint="eastAsia"/>
          <w:lang w:val="en-US" w:eastAsia="zh-CN"/>
        </w:rPr>
      </w:pPr>
      <w:r>
        <w:rPr>
          <w:rFonts w:hint="eastAsia"/>
          <w:lang w:val="en-US" w:eastAsia="zh-CN"/>
        </w:rPr>
        <w:t>图18 湿度发生装置</w:t>
      </w:r>
    </w:p>
    <w:p>
      <w:pPr>
        <w:spacing w:line="360" w:lineRule="auto"/>
        <w:ind w:firstLine="480" w:firstLineChars="200"/>
        <w:rPr>
          <w:rFonts w:hint="eastAsia"/>
          <w:sz w:val="24"/>
        </w:rPr>
      </w:pPr>
      <w:r>
        <w:rPr>
          <w:rFonts w:hint="eastAsia"/>
          <w:sz w:val="24"/>
        </w:rPr>
        <w:t>对于具有高压气体</w:t>
      </w:r>
      <w:r>
        <w:rPr>
          <w:rFonts w:hint="eastAsia"/>
          <w:sz w:val="24"/>
          <w:lang w:val="en-US" w:eastAsia="zh-CN"/>
        </w:rPr>
        <w:t>含</w:t>
      </w:r>
      <w:r>
        <w:rPr>
          <w:rFonts w:hint="eastAsia"/>
          <w:sz w:val="24"/>
        </w:rPr>
        <w:t>水</w:t>
      </w:r>
      <w:r>
        <w:rPr>
          <w:rFonts w:hint="eastAsia"/>
          <w:sz w:val="24"/>
          <w:lang w:val="en-US" w:eastAsia="zh-CN"/>
        </w:rPr>
        <w:t>量</w:t>
      </w:r>
      <w:r>
        <w:rPr>
          <w:rFonts w:hint="eastAsia"/>
          <w:sz w:val="24"/>
        </w:rPr>
        <w:t>测量</w:t>
      </w:r>
      <w:r>
        <w:rPr>
          <w:rFonts w:hint="eastAsia"/>
          <w:sz w:val="24"/>
          <w:lang w:val="en-US" w:eastAsia="zh-CN"/>
        </w:rPr>
        <w:t>的</w:t>
      </w:r>
      <w:r>
        <w:rPr>
          <w:rFonts w:hint="eastAsia"/>
          <w:sz w:val="24"/>
        </w:rPr>
        <w:t>仪器，采用比较法对仪器的含水量传感器进行</w:t>
      </w:r>
      <w:r>
        <w:rPr>
          <w:rFonts w:hint="eastAsia"/>
          <w:sz w:val="24"/>
          <w:lang w:val="en-US" w:eastAsia="zh-CN"/>
        </w:rPr>
        <w:t>校准时</w:t>
      </w:r>
      <w:r>
        <w:rPr>
          <w:rFonts w:hint="eastAsia"/>
          <w:sz w:val="24"/>
        </w:rPr>
        <w:t>，使用湿度发生器提供稳定</w:t>
      </w:r>
      <w:r>
        <w:rPr>
          <w:rFonts w:hint="eastAsia"/>
          <w:sz w:val="24"/>
          <w:lang w:val="en-US" w:eastAsia="zh-CN"/>
        </w:rPr>
        <w:t>湿度点气源</w:t>
      </w:r>
      <w:r>
        <w:rPr>
          <w:rFonts w:hint="eastAsia"/>
          <w:sz w:val="24"/>
        </w:rPr>
        <w:t>，用精密露点仪作为标准仪器，连接方式如图</w:t>
      </w:r>
      <w:r>
        <w:rPr>
          <w:rFonts w:hint="eastAsia"/>
          <w:sz w:val="24"/>
          <w:lang w:val="en-US" w:eastAsia="zh-CN"/>
        </w:rPr>
        <w:t>19</w:t>
      </w:r>
      <w:r>
        <w:rPr>
          <w:rFonts w:hint="eastAsia"/>
          <w:sz w:val="24"/>
          <w:lang w:eastAsia="zh-CN"/>
        </w:rPr>
        <w:t>，</w:t>
      </w:r>
      <w:r>
        <w:rPr>
          <w:rFonts w:hint="eastAsia"/>
          <w:sz w:val="24"/>
          <w:lang w:val="en-US" w:eastAsia="zh-CN"/>
        </w:rPr>
        <w:t>要</w:t>
      </w:r>
      <w:r>
        <w:rPr>
          <w:rFonts w:hint="eastAsia"/>
          <w:sz w:val="24"/>
        </w:rPr>
        <w:t>确保</w:t>
      </w:r>
      <w:r>
        <w:rPr>
          <w:rFonts w:hint="eastAsia"/>
          <w:sz w:val="24"/>
          <w:lang w:val="en-US" w:eastAsia="zh-CN"/>
        </w:rPr>
        <w:t>流经</w:t>
      </w:r>
      <w:r>
        <w:rPr>
          <w:rFonts w:hint="eastAsia"/>
          <w:sz w:val="24"/>
        </w:rPr>
        <w:t>标准</w:t>
      </w:r>
      <w:r>
        <w:rPr>
          <w:rFonts w:hint="eastAsia"/>
          <w:sz w:val="24"/>
          <w:lang w:val="en-US" w:eastAsia="zh-CN"/>
        </w:rPr>
        <w:t>精密</w:t>
      </w:r>
      <w:r>
        <w:rPr>
          <w:rFonts w:hint="eastAsia"/>
          <w:sz w:val="24"/>
        </w:rPr>
        <w:t>露点</w:t>
      </w:r>
      <w:r>
        <w:rPr>
          <w:rFonts w:hint="eastAsia"/>
          <w:sz w:val="24"/>
          <w:lang w:val="en-US" w:eastAsia="zh-CN"/>
        </w:rPr>
        <w:t>仪</w:t>
      </w:r>
      <w:r>
        <w:rPr>
          <w:rFonts w:hint="eastAsia"/>
          <w:sz w:val="24"/>
        </w:rPr>
        <w:t>和被检</w:t>
      </w:r>
      <w:r>
        <w:rPr>
          <w:rFonts w:hint="eastAsia"/>
          <w:color w:val="000000"/>
          <w:sz w:val="24"/>
        </w:rPr>
        <w:t>CAQM</w:t>
      </w:r>
      <w:r>
        <w:rPr>
          <w:rFonts w:hint="eastAsia"/>
          <w:sz w:val="24"/>
          <w:lang w:val="en-US" w:eastAsia="zh-CN"/>
        </w:rPr>
        <w:t>的流量在各自的正常工作要求的流量范围内。测量</w:t>
      </w:r>
      <w:r>
        <w:rPr>
          <w:rFonts w:hint="eastAsia"/>
          <w:sz w:val="24"/>
        </w:rPr>
        <w:t>开始时，确保湿度发生器和标准露点仪显示值应相对稳定，其波动值应满足要求。采用定时记录的方法，待标准器示值稳定30min后，每隔2min记录一次标准器和被</w:t>
      </w:r>
      <w:r>
        <w:rPr>
          <w:rFonts w:hint="eastAsia"/>
          <w:sz w:val="24"/>
          <w:lang w:val="en-US" w:eastAsia="zh-CN"/>
        </w:rPr>
        <w:t>检CAQM</w:t>
      </w:r>
      <w:r>
        <w:rPr>
          <w:rFonts w:hint="eastAsia"/>
          <w:sz w:val="24"/>
        </w:rPr>
        <w:t>示值，累计记录6次，同时记录大气压的数值。</w:t>
      </w:r>
    </w:p>
    <w:p>
      <w:pPr>
        <w:jc w:val="center"/>
      </w:pPr>
      <w:r>
        <w:object>
          <v:shape id="_x0000_i1027" o:spt="75" type="#_x0000_t75" style="height:69.25pt;width:190.3pt;" o:ole="t" filled="f" o:preferrelative="t" stroked="f" coordsize="21600,21600">
            <v:path/>
            <v:fill on="f" focussize="0,0"/>
            <v:stroke on="f" joinstyle="miter"/>
            <v:imagedata r:id="rId26" o:title=""/>
            <o:lock v:ext="edit" aspectratio="f"/>
            <w10:wrap type="none"/>
            <w10:anchorlock/>
          </v:shape>
          <o:OLEObject Type="Embed" ProgID="Visio.Drawing.11" ShapeID="_x0000_i1027" DrawAspect="Content" ObjectID="_1468075727" r:id="rId25">
            <o:LockedField>false</o:LockedField>
          </o:OLEObject>
        </w:object>
      </w:r>
    </w:p>
    <w:p>
      <w:pPr>
        <w:jc w:val="center"/>
      </w:pPr>
    </w:p>
    <w:p>
      <w:pPr>
        <w:spacing w:line="360" w:lineRule="auto"/>
        <w:jc w:val="center"/>
        <w:rPr>
          <w:rFonts w:ascii="黑体" w:hAnsi="黑体" w:eastAsia="黑体"/>
          <w:color w:val="0C0C0C"/>
          <w:szCs w:val="21"/>
        </w:rPr>
      </w:pPr>
      <w:r>
        <w:rPr>
          <w:rFonts w:hint="eastAsia" w:ascii="黑体" w:hAnsi="黑体" w:eastAsia="黑体"/>
          <w:color w:val="0C0C0C"/>
          <w:szCs w:val="21"/>
        </w:rPr>
        <w:t>图</w:t>
      </w:r>
      <w:r>
        <w:rPr>
          <w:rFonts w:hint="eastAsia" w:ascii="黑体" w:hAnsi="黑体" w:eastAsia="黑体"/>
          <w:color w:val="0C0C0C"/>
          <w:szCs w:val="21"/>
          <w:lang w:val="en-US" w:eastAsia="zh-CN"/>
        </w:rPr>
        <w:t>19</w:t>
      </w:r>
      <w:r>
        <w:rPr>
          <w:rFonts w:hint="eastAsia" w:ascii="黑体" w:hAnsi="黑体" w:eastAsia="黑体"/>
          <w:color w:val="0C0C0C"/>
          <w:szCs w:val="21"/>
        </w:rPr>
        <w:t xml:space="preserve"> 露点示值误差校准的连接示意图</w:t>
      </w:r>
    </w:p>
    <w:p>
      <w:pPr>
        <w:jc w:val="center"/>
        <w:rPr>
          <w:rFonts w:hint="default"/>
          <w:sz w:val="24"/>
          <w:lang w:val="en-US" w:eastAsia="zh-CN"/>
        </w:rPr>
      </w:pPr>
    </w:p>
    <w:p>
      <w:pPr>
        <w:jc w:val="center"/>
        <w:rPr>
          <w:rFonts w:hint="default"/>
          <w:lang w:val="en-US" w:eastAsia="zh-CN"/>
        </w:rPr>
      </w:pPr>
      <w:r>
        <w:rPr>
          <w:rFonts w:hint="eastAsia" w:ascii="宋体" w:hAnsi="宋体" w:eastAsia="宋体" w:cs="宋体"/>
          <w:i w:val="0"/>
          <w:iCs w:val="0"/>
          <w:color w:val="000000"/>
          <w:kern w:val="0"/>
          <w:sz w:val="24"/>
          <w:szCs w:val="24"/>
          <w:u w:val="none"/>
          <w:lang w:val="en-US" w:eastAsia="zh-CN" w:bidi="ar"/>
        </w:rPr>
        <w:t>表1.希尔思仪表，型号</w:t>
      </w:r>
      <w:r>
        <w:rPr>
          <w:rFonts w:hint="eastAsia"/>
          <w:lang w:eastAsia="zh-CN"/>
        </w:rPr>
        <w:t>S520，</w:t>
      </w:r>
      <w:r>
        <w:rPr>
          <w:rFonts w:hint="eastAsia"/>
          <w:lang w:val="en-US" w:eastAsia="zh-CN"/>
        </w:rPr>
        <w:t>编号：</w:t>
      </w:r>
      <w:r>
        <w:rPr>
          <w:rFonts w:hint="eastAsia"/>
          <w:lang w:eastAsia="zh-CN"/>
        </w:rPr>
        <w:t>29218</w:t>
      </w:r>
      <w:r>
        <w:rPr>
          <w:rFonts w:hint="eastAsia"/>
          <w:lang w:val="en-US" w:eastAsia="zh-CN"/>
        </w:rPr>
        <w:t>65</w:t>
      </w:r>
    </w:p>
    <w:tbl>
      <w:tblPr>
        <w:tblStyle w:val="10"/>
        <w:tblW w:w="841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25"/>
        <w:gridCol w:w="926"/>
        <w:gridCol w:w="926"/>
        <w:gridCol w:w="926"/>
        <w:gridCol w:w="1056"/>
        <w:gridCol w:w="914"/>
        <w:gridCol w:w="914"/>
        <w:gridCol w:w="914"/>
        <w:gridCol w:w="91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3744" w:type="dxa"/>
            <w:gridSpan w:val="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标准器露点示值（℃DP）</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实际值</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（℃DP）</w:t>
            </w:r>
          </w:p>
        </w:tc>
        <w:tc>
          <w:tcPr>
            <w:tcW w:w="3744" w:type="dxa"/>
            <w:gridSpan w:val="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被检仪器示值（℃DP）</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3744"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744"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0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平均值</w:t>
            </w: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平均值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12"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-77.76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-77.76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-77.76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-77.76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-77.76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-66.9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-60.2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5"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-59.39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-59.39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-59.39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-59.39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-59.39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-42.2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-39.34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-39.34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-39.34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-39.34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-39.34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-30.09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-30.3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-9.69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c>
          <w:tcPr>
            <w:tcW w:w="936" w:type="dxa"/>
            <w:vMerge w:val="continue"/>
            <w:tcBorders>
              <w:left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bl>
    <w:p>
      <w:pPr>
        <w:jc w:val="center"/>
        <w:rPr>
          <w:rFonts w:hint="default" w:eastAsia="宋体"/>
          <w:sz w:val="24"/>
          <w:lang w:val="en-US" w:eastAsia="zh-CN"/>
        </w:rPr>
      </w:pPr>
      <w:bookmarkStart w:id="4" w:name="_GoBack"/>
      <w:bookmarkEnd w:id="4"/>
      <w:r>
        <w:rPr>
          <w:rFonts w:hint="eastAsia" w:ascii="宋体" w:hAnsi="宋体" w:eastAsia="宋体" w:cs="宋体"/>
          <w:i w:val="0"/>
          <w:iCs w:val="0"/>
          <w:color w:val="000000"/>
          <w:kern w:val="0"/>
          <w:sz w:val="24"/>
          <w:szCs w:val="24"/>
          <w:u w:val="none"/>
          <w:lang w:val="en-US" w:eastAsia="zh-CN" w:bidi="ar"/>
        </w:rPr>
        <w:t>表1.希尔思仪表，型号</w:t>
      </w:r>
      <w:r>
        <w:rPr>
          <w:rFonts w:hint="eastAsia"/>
          <w:lang w:eastAsia="zh-CN"/>
        </w:rPr>
        <w:t>S520，</w:t>
      </w:r>
      <w:r>
        <w:rPr>
          <w:rFonts w:hint="eastAsia"/>
          <w:lang w:val="en-US" w:eastAsia="zh-CN"/>
        </w:rPr>
        <w:t>编号：</w:t>
      </w:r>
      <w:r>
        <w:rPr>
          <w:rFonts w:hint="eastAsia"/>
          <w:lang w:eastAsia="zh-CN"/>
        </w:rPr>
        <w:t>29218263</w:t>
      </w:r>
    </w:p>
    <w:tbl>
      <w:tblPr>
        <w:tblStyle w:val="10"/>
        <w:tblW w:w="841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25"/>
        <w:gridCol w:w="926"/>
        <w:gridCol w:w="926"/>
        <w:gridCol w:w="926"/>
        <w:gridCol w:w="1056"/>
        <w:gridCol w:w="914"/>
        <w:gridCol w:w="914"/>
        <w:gridCol w:w="914"/>
        <w:gridCol w:w="91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3744" w:type="dxa"/>
            <w:gridSpan w:val="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标准器露点示值（℃DP）</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标准器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实际值</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（℃DP）</w:t>
            </w:r>
          </w:p>
        </w:tc>
        <w:tc>
          <w:tcPr>
            <w:tcW w:w="3744" w:type="dxa"/>
            <w:gridSpan w:val="4"/>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被检仪器示值（℃DP）</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3744"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744"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平均值</w:t>
            </w: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平均值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-77.12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-77.12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-77.12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-77.12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-77.12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-77.0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-67.13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-70.6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-60.43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-60.43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-60.43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-60.43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-60.43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-49.66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-55.4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-55.4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-40.37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-40.37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-40.37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-40.37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-40.37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-30.40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-21.3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-9.71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-10.7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-0.33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 </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21"/>
                <w:szCs w:val="21"/>
                <w:u w:val="none"/>
              </w:rPr>
            </w:pPr>
          </w:p>
        </w:tc>
      </w:tr>
    </w:tbl>
    <w:p>
      <w:pPr>
        <w:spacing w:line="360" w:lineRule="auto"/>
        <w:ind w:firstLine="0" w:firstLineChars="0"/>
        <w:rPr>
          <w:rFonts w:hint="eastAsia"/>
          <w:sz w:val="24"/>
        </w:rPr>
      </w:pPr>
    </w:p>
    <w:p>
      <w:pPr>
        <w:spacing w:line="360" w:lineRule="auto"/>
        <w:ind w:firstLine="437"/>
        <w:rPr>
          <w:rFonts w:hint="default" w:hAnsi="宋体" w:eastAsia="宋体"/>
          <w:sz w:val="24"/>
          <w:lang w:val="en-US" w:eastAsia="zh-CN"/>
        </w:rPr>
      </w:pPr>
      <w:r>
        <w:rPr>
          <w:rFonts w:hint="eastAsia" w:hAnsi="宋体"/>
          <w:sz w:val="24"/>
          <w:lang w:val="en-US" w:eastAsia="zh-CN"/>
        </w:rPr>
        <w:t>实验过程中，含水量的测量方法按照规程规范的编制方法进行实验验证，项目组在规范制定过程中，发现只存在少数压缩气压缩气体测量仪同时含有颗粒、露点、含油量等，对于只有露点测量值的压缩空气测量仪测量仪也可以参考</w:t>
      </w:r>
      <w:r>
        <w:rPr>
          <w:rFonts w:hint="eastAsia"/>
          <w:sz w:val="24"/>
          <w:lang w:val="en-US" w:eastAsia="zh-CN"/>
        </w:rPr>
        <w:t>JJF1012</w:t>
      </w:r>
      <w:r>
        <w:rPr>
          <w:rFonts w:hint="eastAsia" w:ascii="宋体" w:hAnsi="宋体"/>
          <w:color w:val="0D0D0D" w:themeColor="text1" w:themeTint="F2"/>
          <w:sz w:val="24"/>
          <w14:textFill>
            <w14:solidFill>
              <w14:schemeClr w14:val="tx1">
                <w14:lumMod w14:val="95000"/>
                <w14:lumOff w14:val="5000"/>
              </w14:schemeClr>
            </w14:solidFill>
          </w14:textFill>
        </w:rPr>
        <w:t>—</w:t>
      </w:r>
      <w:r>
        <w:rPr>
          <w:rFonts w:hint="eastAsia"/>
          <w:sz w:val="24"/>
          <w:lang w:val="en-US" w:eastAsia="zh-CN"/>
        </w:rPr>
        <w:t>2007 《湿度与水分计量名术语及定义》</w:t>
      </w:r>
      <w:r>
        <w:rPr>
          <w:sz w:val="24"/>
        </w:rPr>
        <w:t>和JJG 499</w:t>
      </w:r>
      <w:r>
        <w:rPr>
          <w:rFonts w:hint="eastAsia" w:ascii="宋体" w:hAnsi="宋体"/>
          <w:color w:val="0D0D0D" w:themeColor="text1" w:themeTint="F2"/>
          <w:sz w:val="24"/>
          <w14:textFill>
            <w14:solidFill>
              <w14:schemeClr w14:val="tx1">
                <w14:lumMod w14:val="95000"/>
                <w14:lumOff w14:val="5000"/>
              </w14:schemeClr>
            </w14:solidFill>
          </w14:textFill>
        </w:rPr>
        <w:t>—</w:t>
      </w:r>
      <w:r>
        <w:rPr>
          <w:sz w:val="24"/>
        </w:rPr>
        <w:t>2021《精密露点仪检定规程》</w:t>
      </w:r>
      <w:r>
        <w:rPr>
          <w:rFonts w:hint="eastAsia"/>
          <w:sz w:val="24"/>
          <w:lang w:val="en-US" w:eastAsia="zh-CN"/>
        </w:rPr>
        <w:t>规程的要求进行验证。</w:t>
      </w:r>
    </w:p>
    <w:p>
      <w:pPr>
        <w:pStyle w:val="2"/>
        <w:rPr>
          <w:rFonts w:hint="default"/>
          <w:sz w:val="32"/>
          <w:szCs w:val="32"/>
          <w:lang w:val="en-US" w:eastAsia="zh-CN"/>
        </w:rPr>
      </w:pPr>
      <w:r>
        <w:rPr>
          <w:rFonts w:hint="eastAsia"/>
          <w:sz w:val="32"/>
          <w:szCs w:val="32"/>
          <w:lang w:val="en-US" w:eastAsia="zh-CN"/>
        </w:rPr>
        <w:t>三、 总结</w:t>
      </w:r>
    </w:p>
    <w:p>
      <w:pPr>
        <w:spacing w:line="360" w:lineRule="auto"/>
        <w:ind w:firstLine="480" w:firstLineChars="200"/>
        <w:jc w:val="left"/>
        <w:rPr>
          <w:rFonts w:hint="default" w:ascii="Times New Roman" w:hAnsi="Times New Roman" w:eastAsia="宋体" w:cs="Times New Roman"/>
          <w:sz w:val="24"/>
          <w:lang w:val="en-US" w:eastAsia="zh-CN"/>
        </w:rPr>
      </w:pPr>
      <w:r>
        <w:rPr>
          <w:rFonts w:hint="eastAsia" w:ascii="Times New Roman" w:hAnsi="Times New Roman" w:eastAsia="宋体" w:cs="Times New Roman"/>
          <w:sz w:val="24"/>
        </w:rPr>
        <w:t>通过</w:t>
      </w:r>
      <w:r>
        <w:rPr>
          <w:rFonts w:hint="eastAsia" w:ascii="Times New Roman" w:hAnsi="Times New Roman" w:eastAsia="宋体" w:cs="Times New Roman"/>
          <w:sz w:val="24"/>
          <w:lang w:val="en-US" w:eastAsia="zh-CN"/>
        </w:rPr>
        <w:t>以上</w:t>
      </w:r>
      <w:r>
        <w:rPr>
          <w:rFonts w:hint="eastAsia" w:ascii="Times New Roman" w:hAnsi="Times New Roman" w:eastAsia="宋体" w:cs="Times New Roman"/>
          <w:sz w:val="24"/>
        </w:rPr>
        <w:t>实验数据，可以判断本规范</w:t>
      </w:r>
      <w:r>
        <w:rPr>
          <w:rFonts w:hint="eastAsia" w:ascii="Times New Roman" w:hAnsi="Times New Roman" w:eastAsia="宋体" w:cs="Times New Roman"/>
          <w:sz w:val="24"/>
          <w:lang w:val="en-US" w:eastAsia="zh-CN"/>
        </w:rPr>
        <w:t>压缩空气质量测量仪的流量示值误差、流量重复性、颗粒计数效率、颗粒计数重复性、湿度示值误差和重复性等计量性能所制定的校准</w:t>
      </w:r>
      <w:r>
        <w:rPr>
          <w:rFonts w:hint="eastAsia" w:ascii="Times New Roman" w:hAnsi="Times New Roman" w:eastAsia="宋体" w:cs="Times New Roman"/>
          <w:sz w:val="24"/>
        </w:rPr>
        <w:t>方法科学性和合理性。</w:t>
      </w:r>
    </w:p>
    <w:p>
      <w:pPr>
        <w:spacing w:line="360" w:lineRule="auto"/>
        <w:jc w:val="left"/>
        <w:rPr>
          <w:sz w:val="24"/>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FZHTK--GBK1-0">
    <w:altName w:val="Times New Roman"/>
    <w:panose1 w:val="00000000000000000000"/>
    <w:charset w:val="00"/>
    <w:family w:val="roman"/>
    <w:pitch w:val="default"/>
    <w:sig w:usb0="00000000" w:usb1="00000000" w:usb2="00000000"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5PuKjdAgAAJgYAAA4AAABkcnMvZTJvRG9jLnhtbK1US27bMBDdF+gd&#10;CO4VSY7s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krohCFGgrRQ&#10;8ftvX++//7z/8QXBHgi0VWYCcbcKIu3uUu4guN83sOl47yrdun9ghMAP8t4d5GU7i6g7lA7SNAIX&#10;BV+/APzweFxpY18x2SJnZFhD/bysZLMwtgvtQ9xtQhYN576GXKBthkenw8gfOHgAnAsXC1kAxt7q&#10;avNpHI2v0qs0CZLB6CpIojwPZsU8CUZFfDbMT/P5PI8/O7w4mdRNWTLh7uv7JE6eV4d9r3QVPnSK&#10;kbwpHZxLyejVcs412hDo08L/nMKQ/IOw8HEa3g2snlCKB0l0ORgHxSg9C5IiGQbjsygNonh8OR5F&#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3k+4qN0CAAAmBgAADgAAAAAAAAABACAAAAAfAQAAZHJzL2Uyb0RvYy54bWxQSwUG&#10;AAAAAAYABgBZAQAAbgY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5640"/>
    <w:rsid w:val="00234D48"/>
    <w:rsid w:val="002D443E"/>
    <w:rsid w:val="002D52FB"/>
    <w:rsid w:val="00304652"/>
    <w:rsid w:val="0035586D"/>
    <w:rsid w:val="003E2EA0"/>
    <w:rsid w:val="004A4E5E"/>
    <w:rsid w:val="004B7DD8"/>
    <w:rsid w:val="004E4C0B"/>
    <w:rsid w:val="00531F09"/>
    <w:rsid w:val="006569FE"/>
    <w:rsid w:val="006665E9"/>
    <w:rsid w:val="006A2AAF"/>
    <w:rsid w:val="00855971"/>
    <w:rsid w:val="0087135C"/>
    <w:rsid w:val="008E6DCD"/>
    <w:rsid w:val="00925640"/>
    <w:rsid w:val="00950094"/>
    <w:rsid w:val="009544D1"/>
    <w:rsid w:val="009C235F"/>
    <w:rsid w:val="009F0F7C"/>
    <w:rsid w:val="00A14DB4"/>
    <w:rsid w:val="00AB59E4"/>
    <w:rsid w:val="00BF60F0"/>
    <w:rsid w:val="00C13038"/>
    <w:rsid w:val="00C44785"/>
    <w:rsid w:val="00C61897"/>
    <w:rsid w:val="00C64B95"/>
    <w:rsid w:val="00C80BE2"/>
    <w:rsid w:val="00C9349F"/>
    <w:rsid w:val="00CB169B"/>
    <w:rsid w:val="00DF2B31"/>
    <w:rsid w:val="01181564"/>
    <w:rsid w:val="01926051"/>
    <w:rsid w:val="025C5425"/>
    <w:rsid w:val="028E07C1"/>
    <w:rsid w:val="02AA123D"/>
    <w:rsid w:val="030A30F2"/>
    <w:rsid w:val="03EF4B21"/>
    <w:rsid w:val="040203DE"/>
    <w:rsid w:val="045C5825"/>
    <w:rsid w:val="0540657C"/>
    <w:rsid w:val="054236A0"/>
    <w:rsid w:val="059F7DDE"/>
    <w:rsid w:val="05E216C0"/>
    <w:rsid w:val="05F41B32"/>
    <w:rsid w:val="06A05A47"/>
    <w:rsid w:val="06F57272"/>
    <w:rsid w:val="074B3F42"/>
    <w:rsid w:val="080A4B60"/>
    <w:rsid w:val="0829028A"/>
    <w:rsid w:val="09165266"/>
    <w:rsid w:val="09B160A6"/>
    <w:rsid w:val="0A570482"/>
    <w:rsid w:val="0AF915BA"/>
    <w:rsid w:val="0AFF768D"/>
    <w:rsid w:val="0B0C2C43"/>
    <w:rsid w:val="0B35515E"/>
    <w:rsid w:val="0B52451D"/>
    <w:rsid w:val="0BAC5D38"/>
    <w:rsid w:val="0CAC3122"/>
    <w:rsid w:val="0D4D6853"/>
    <w:rsid w:val="0E4352FE"/>
    <w:rsid w:val="0F4E62B3"/>
    <w:rsid w:val="0F870A0B"/>
    <w:rsid w:val="0F8B63AF"/>
    <w:rsid w:val="0FC14132"/>
    <w:rsid w:val="0FD6276F"/>
    <w:rsid w:val="10877EF0"/>
    <w:rsid w:val="109378AE"/>
    <w:rsid w:val="10DE7D25"/>
    <w:rsid w:val="11F558C8"/>
    <w:rsid w:val="12FC0769"/>
    <w:rsid w:val="130E2AB4"/>
    <w:rsid w:val="133E07F4"/>
    <w:rsid w:val="136A2984"/>
    <w:rsid w:val="13D20F81"/>
    <w:rsid w:val="141B43E8"/>
    <w:rsid w:val="14711D17"/>
    <w:rsid w:val="14774B66"/>
    <w:rsid w:val="160A2FCB"/>
    <w:rsid w:val="166D336E"/>
    <w:rsid w:val="16C56A48"/>
    <w:rsid w:val="17085AF9"/>
    <w:rsid w:val="176126EA"/>
    <w:rsid w:val="17BD2FF0"/>
    <w:rsid w:val="17FC2A73"/>
    <w:rsid w:val="180C4EDA"/>
    <w:rsid w:val="18EC10D5"/>
    <w:rsid w:val="195A55AB"/>
    <w:rsid w:val="19A41AF3"/>
    <w:rsid w:val="19B72E88"/>
    <w:rsid w:val="1AB91F82"/>
    <w:rsid w:val="1ADD38D3"/>
    <w:rsid w:val="1AF27DF3"/>
    <w:rsid w:val="1BB37090"/>
    <w:rsid w:val="1BB65024"/>
    <w:rsid w:val="1CC91D34"/>
    <w:rsid w:val="1CCF71E0"/>
    <w:rsid w:val="1CD1547A"/>
    <w:rsid w:val="1D3F0DDE"/>
    <w:rsid w:val="1D657A23"/>
    <w:rsid w:val="1D6D1CBC"/>
    <w:rsid w:val="1D9D1BFB"/>
    <w:rsid w:val="1DA06AEF"/>
    <w:rsid w:val="1DDC7608"/>
    <w:rsid w:val="1DF478FC"/>
    <w:rsid w:val="1E453340"/>
    <w:rsid w:val="1EC706E1"/>
    <w:rsid w:val="1F0B3836"/>
    <w:rsid w:val="1F56328E"/>
    <w:rsid w:val="1FCE7F62"/>
    <w:rsid w:val="20215F85"/>
    <w:rsid w:val="20630DFB"/>
    <w:rsid w:val="2069349A"/>
    <w:rsid w:val="207D2600"/>
    <w:rsid w:val="20E41D6D"/>
    <w:rsid w:val="21775666"/>
    <w:rsid w:val="21C56DAA"/>
    <w:rsid w:val="21E76293"/>
    <w:rsid w:val="22015C71"/>
    <w:rsid w:val="222164DE"/>
    <w:rsid w:val="22922B63"/>
    <w:rsid w:val="23372FF0"/>
    <w:rsid w:val="237E1D02"/>
    <w:rsid w:val="23A24B9C"/>
    <w:rsid w:val="243F09E2"/>
    <w:rsid w:val="2555187D"/>
    <w:rsid w:val="25C1709F"/>
    <w:rsid w:val="26702818"/>
    <w:rsid w:val="27064D05"/>
    <w:rsid w:val="276E3A9B"/>
    <w:rsid w:val="280304F5"/>
    <w:rsid w:val="29AA2F4F"/>
    <w:rsid w:val="29CB493F"/>
    <w:rsid w:val="29E70FD1"/>
    <w:rsid w:val="29FE2A9B"/>
    <w:rsid w:val="2A093BF5"/>
    <w:rsid w:val="2BDD3827"/>
    <w:rsid w:val="2C497C18"/>
    <w:rsid w:val="2C9661B2"/>
    <w:rsid w:val="2CCC6303"/>
    <w:rsid w:val="2D5C22A2"/>
    <w:rsid w:val="2E812E4E"/>
    <w:rsid w:val="2F323DB2"/>
    <w:rsid w:val="30A42A77"/>
    <w:rsid w:val="30D50686"/>
    <w:rsid w:val="31D94E31"/>
    <w:rsid w:val="31F41E54"/>
    <w:rsid w:val="336B0865"/>
    <w:rsid w:val="338B2184"/>
    <w:rsid w:val="351F63C8"/>
    <w:rsid w:val="353E00A1"/>
    <w:rsid w:val="355F637F"/>
    <w:rsid w:val="357540EF"/>
    <w:rsid w:val="362A3CD9"/>
    <w:rsid w:val="3675513B"/>
    <w:rsid w:val="37790D67"/>
    <w:rsid w:val="37943596"/>
    <w:rsid w:val="38737362"/>
    <w:rsid w:val="38891FFB"/>
    <w:rsid w:val="38A56B31"/>
    <w:rsid w:val="390E77C9"/>
    <w:rsid w:val="395107AA"/>
    <w:rsid w:val="39D27E4D"/>
    <w:rsid w:val="3A4B248B"/>
    <w:rsid w:val="3A965D2A"/>
    <w:rsid w:val="3AA72C48"/>
    <w:rsid w:val="3AD138A2"/>
    <w:rsid w:val="3B1210B2"/>
    <w:rsid w:val="3B452DA4"/>
    <w:rsid w:val="3B4E7BCB"/>
    <w:rsid w:val="3CF02070"/>
    <w:rsid w:val="3D211507"/>
    <w:rsid w:val="3D934FA9"/>
    <w:rsid w:val="3DBD505F"/>
    <w:rsid w:val="3EB36E8E"/>
    <w:rsid w:val="3F5C5B21"/>
    <w:rsid w:val="3FBF34ED"/>
    <w:rsid w:val="3FE72F38"/>
    <w:rsid w:val="3FF54669"/>
    <w:rsid w:val="407240F9"/>
    <w:rsid w:val="41D32B40"/>
    <w:rsid w:val="42292E9E"/>
    <w:rsid w:val="425031C2"/>
    <w:rsid w:val="42963580"/>
    <w:rsid w:val="42FD007E"/>
    <w:rsid w:val="432970DA"/>
    <w:rsid w:val="43A60023"/>
    <w:rsid w:val="43A652DD"/>
    <w:rsid w:val="43C14C02"/>
    <w:rsid w:val="442711AA"/>
    <w:rsid w:val="45A54F61"/>
    <w:rsid w:val="45E55582"/>
    <w:rsid w:val="46077644"/>
    <w:rsid w:val="463E7D09"/>
    <w:rsid w:val="4736297B"/>
    <w:rsid w:val="47370BF8"/>
    <w:rsid w:val="474B7ED0"/>
    <w:rsid w:val="47807335"/>
    <w:rsid w:val="483E26D6"/>
    <w:rsid w:val="48CE35EF"/>
    <w:rsid w:val="495B76CF"/>
    <w:rsid w:val="4A1601F8"/>
    <w:rsid w:val="4B0313F6"/>
    <w:rsid w:val="4B0C4C02"/>
    <w:rsid w:val="4B4747FB"/>
    <w:rsid w:val="4BD70937"/>
    <w:rsid w:val="4BE42566"/>
    <w:rsid w:val="4C76799C"/>
    <w:rsid w:val="4C7D74AA"/>
    <w:rsid w:val="4E341303"/>
    <w:rsid w:val="4E3E189D"/>
    <w:rsid w:val="4E41181C"/>
    <w:rsid w:val="4E6B14A2"/>
    <w:rsid w:val="4E922096"/>
    <w:rsid w:val="4F0F765B"/>
    <w:rsid w:val="4FE523A9"/>
    <w:rsid w:val="501F6BF8"/>
    <w:rsid w:val="51730803"/>
    <w:rsid w:val="51732384"/>
    <w:rsid w:val="51DF69E1"/>
    <w:rsid w:val="5298180D"/>
    <w:rsid w:val="52C64669"/>
    <w:rsid w:val="538D076D"/>
    <w:rsid w:val="53C52779"/>
    <w:rsid w:val="542A0167"/>
    <w:rsid w:val="542A7544"/>
    <w:rsid w:val="55077C21"/>
    <w:rsid w:val="56763066"/>
    <w:rsid w:val="570A188A"/>
    <w:rsid w:val="576E2F48"/>
    <w:rsid w:val="57F673C3"/>
    <w:rsid w:val="58E87142"/>
    <w:rsid w:val="59730CD5"/>
    <w:rsid w:val="5BD02FB1"/>
    <w:rsid w:val="5C557C36"/>
    <w:rsid w:val="5CD76CF1"/>
    <w:rsid w:val="5D2A7CE4"/>
    <w:rsid w:val="5D532D94"/>
    <w:rsid w:val="5D6F1F64"/>
    <w:rsid w:val="5DC554F7"/>
    <w:rsid w:val="5DD9538B"/>
    <w:rsid w:val="5DF35074"/>
    <w:rsid w:val="5E0346C5"/>
    <w:rsid w:val="5E69795C"/>
    <w:rsid w:val="5EB02893"/>
    <w:rsid w:val="5EF03EE8"/>
    <w:rsid w:val="5F117DCC"/>
    <w:rsid w:val="60127E48"/>
    <w:rsid w:val="60924CDC"/>
    <w:rsid w:val="60BD2B1B"/>
    <w:rsid w:val="615D168A"/>
    <w:rsid w:val="61D56E55"/>
    <w:rsid w:val="629E022A"/>
    <w:rsid w:val="639D4CB3"/>
    <w:rsid w:val="63B24460"/>
    <w:rsid w:val="64152C7B"/>
    <w:rsid w:val="64703907"/>
    <w:rsid w:val="65C814C3"/>
    <w:rsid w:val="66367E66"/>
    <w:rsid w:val="6639131C"/>
    <w:rsid w:val="670E48A9"/>
    <w:rsid w:val="679C1873"/>
    <w:rsid w:val="67EA4F6E"/>
    <w:rsid w:val="68DB5301"/>
    <w:rsid w:val="68DD6E84"/>
    <w:rsid w:val="69A56A9C"/>
    <w:rsid w:val="69BC5D2E"/>
    <w:rsid w:val="69CA1A4F"/>
    <w:rsid w:val="6A0935F3"/>
    <w:rsid w:val="6A147359"/>
    <w:rsid w:val="6AAC1B91"/>
    <w:rsid w:val="6AAF1A16"/>
    <w:rsid w:val="6ABE65B7"/>
    <w:rsid w:val="6B4F6DEA"/>
    <w:rsid w:val="6BD751D4"/>
    <w:rsid w:val="6C9526B2"/>
    <w:rsid w:val="6CF00901"/>
    <w:rsid w:val="6D4C3844"/>
    <w:rsid w:val="6E4B5496"/>
    <w:rsid w:val="6ECD16BE"/>
    <w:rsid w:val="6F103A68"/>
    <w:rsid w:val="6F264F66"/>
    <w:rsid w:val="6FDB60CA"/>
    <w:rsid w:val="6FDE1560"/>
    <w:rsid w:val="706A6BB9"/>
    <w:rsid w:val="717605FB"/>
    <w:rsid w:val="71886ED2"/>
    <w:rsid w:val="72027848"/>
    <w:rsid w:val="728C09F8"/>
    <w:rsid w:val="72A61048"/>
    <w:rsid w:val="72F34F42"/>
    <w:rsid w:val="733B36F2"/>
    <w:rsid w:val="739956DE"/>
    <w:rsid w:val="74341189"/>
    <w:rsid w:val="744C60DC"/>
    <w:rsid w:val="7477491D"/>
    <w:rsid w:val="74EE0279"/>
    <w:rsid w:val="75743261"/>
    <w:rsid w:val="7575751C"/>
    <w:rsid w:val="757B0A07"/>
    <w:rsid w:val="75916390"/>
    <w:rsid w:val="75F202BF"/>
    <w:rsid w:val="766C5D63"/>
    <w:rsid w:val="77260DCA"/>
    <w:rsid w:val="774B4798"/>
    <w:rsid w:val="77977657"/>
    <w:rsid w:val="77C2316A"/>
    <w:rsid w:val="78CA0178"/>
    <w:rsid w:val="79115728"/>
    <w:rsid w:val="796A5A26"/>
    <w:rsid w:val="79735866"/>
    <w:rsid w:val="7A7D65D2"/>
    <w:rsid w:val="7B8B5224"/>
    <w:rsid w:val="7C3862E7"/>
    <w:rsid w:val="7C741F0A"/>
    <w:rsid w:val="7CB81189"/>
    <w:rsid w:val="7CF33046"/>
    <w:rsid w:val="7D515718"/>
    <w:rsid w:val="7D903103"/>
    <w:rsid w:val="7E6B7ACA"/>
    <w:rsid w:val="7F1E55B9"/>
    <w:rsid w:val="7F4529B0"/>
    <w:rsid w:val="7FB22315"/>
    <w:rsid w:val="7FD27AAE"/>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qFormat="1"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100" w:beforeAutospacing="1" w:after="100" w:afterAutospacing="1"/>
      <w:jc w:val="left"/>
      <w:outlineLvl w:val="0"/>
    </w:pPr>
    <w:rPr>
      <w:rFonts w:hint="eastAsia" w:ascii="宋体" w:hAnsi="宋体" w:eastAsia="宋体" w:cs="宋体"/>
      <w:b/>
      <w:kern w:val="44"/>
      <w:sz w:val="48"/>
      <w:szCs w:val="48"/>
      <w:lang w:val="en-US" w:eastAsia="zh-CN" w:bidi="ar"/>
    </w:rPr>
  </w:style>
  <w:style w:type="paragraph" w:styleId="3">
    <w:name w:val="heading 2"/>
    <w:basedOn w:val="1"/>
    <w:next w:val="1"/>
    <w:qFormat/>
    <w:uiPriority w:val="0"/>
    <w:pPr>
      <w:keepNext/>
      <w:jc w:val="center"/>
      <w:outlineLvl w:val="1"/>
    </w:pPr>
    <w:rPr>
      <w:rFonts w:ascii="Times New Roman" w:hAnsi="Times New Roman"/>
      <w:kern w:val="0"/>
      <w:sz w:val="30"/>
    </w:rPr>
  </w:style>
  <w:style w:type="paragraph" w:styleId="4">
    <w:name w:val="heading 3"/>
    <w:basedOn w:val="1"/>
    <w:next w:val="1"/>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footer"/>
    <w:basedOn w:val="1"/>
    <w:uiPriority w:val="0"/>
    <w:pPr>
      <w:tabs>
        <w:tab w:val="center" w:pos="4153"/>
        <w:tab w:val="right" w:pos="8306"/>
      </w:tabs>
      <w:snapToGrid w:val="0"/>
      <w:jc w:val="left"/>
    </w:pPr>
    <w:rPr>
      <w:sz w:val="18"/>
    </w:rPr>
  </w:style>
  <w:style w:type="paragraph" w:styleId="8">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Normal (Web)"/>
    <w:basedOn w:val="1"/>
    <w:qFormat/>
    <w:uiPriority w:val="0"/>
    <w:pPr>
      <w:spacing w:before="100" w:beforeAutospacing="1" w:after="100" w:afterAutospacing="1"/>
      <w:ind w:left="0" w:right="0"/>
      <w:jc w:val="left"/>
    </w:pPr>
    <w:rPr>
      <w:kern w:val="0"/>
      <w:sz w:val="24"/>
      <w:lang w:val="en-US" w:eastAsia="zh-CN" w:bidi="ar"/>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FollowedHyperlink"/>
    <w:basedOn w:val="12"/>
    <w:qFormat/>
    <w:uiPriority w:val="0"/>
    <w:rPr>
      <w:color w:val="22397D"/>
      <w:u w:val="none"/>
    </w:rPr>
  </w:style>
  <w:style w:type="character" w:styleId="14">
    <w:name w:val="Emphasis"/>
    <w:basedOn w:val="12"/>
    <w:qFormat/>
    <w:uiPriority w:val="0"/>
    <w:rPr>
      <w:i/>
    </w:rPr>
  </w:style>
  <w:style w:type="character" w:styleId="15">
    <w:name w:val="HTML Definition"/>
    <w:basedOn w:val="12"/>
    <w:qFormat/>
    <w:uiPriority w:val="0"/>
  </w:style>
  <w:style w:type="character" w:styleId="16">
    <w:name w:val="Hyperlink"/>
    <w:basedOn w:val="12"/>
    <w:qFormat/>
    <w:uiPriority w:val="0"/>
    <w:rPr>
      <w:color w:val="22397D"/>
      <w:u w:val="none"/>
    </w:rPr>
  </w:style>
  <w:style w:type="character" w:styleId="17">
    <w:name w:val="HTML Code"/>
    <w:basedOn w:val="12"/>
    <w:qFormat/>
    <w:uiPriority w:val="0"/>
    <w:rPr>
      <w:rFonts w:ascii="Courier New" w:hAnsi="Courier New"/>
      <w:sz w:val="20"/>
    </w:rPr>
  </w:style>
  <w:style w:type="character" w:customStyle="1" w:styleId="18">
    <w:name w:val="font21"/>
    <w:qFormat/>
    <w:uiPriority w:val="0"/>
    <w:rPr>
      <w:rFonts w:hint="eastAsia" w:ascii="宋体" w:hAnsi="宋体" w:eastAsia="宋体" w:cs="宋体"/>
      <w:color w:val="000000"/>
      <w:sz w:val="16"/>
      <w:szCs w:val="16"/>
      <w:u w:val="none"/>
    </w:rPr>
  </w:style>
  <w:style w:type="character" w:customStyle="1" w:styleId="19">
    <w:name w:val="font11"/>
    <w:qFormat/>
    <w:uiPriority w:val="0"/>
    <w:rPr>
      <w:rFonts w:hint="eastAsia" w:ascii="宋体" w:hAnsi="宋体" w:eastAsia="宋体" w:cs="宋体"/>
      <w:color w:val="000000"/>
      <w:sz w:val="22"/>
      <w:szCs w:val="22"/>
      <w:u w:val="none"/>
    </w:rPr>
  </w:style>
  <w:style w:type="character" w:customStyle="1" w:styleId="20">
    <w:name w:val="font01"/>
    <w:qFormat/>
    <w:uiPriority w:val="0"/>
    <w:rPr>
      <w:rFonts w:hint="eastAsia" w:ascii="宋体" w:hAnsi="宋体" w:eastAsia="宋体" w:cs="宋体"/>
      <w:color w:val="000000"/>
      <w:sz w:val="12"/>
      <w:szCs w:val="12"/>
      <w:u w:val="none"/>
    </w:rPr>
  </w:style>
  <w:style w:type="paragraph" w:styleId="21">
    <w:name w:val="List Paragraph"/>
    <w:basedOn w:val="1"/>
    <w:qFormat/>
    <w:uiPriority w:val="34"/>
    <w:pPr>
      <w:ind w:firstLine="420" w:firstLineChars="200"/>
    </w:pPr>
    <w:rPr>
      <w:rFonts w:ascii="Calibri" w:hAnsi="Calibri"/>
      <w:szCs w:val="22"/>
    </w:rPr>
  </w:style>
  <w:style w:type="character" w:customStyle="1" w:styleId="22">
    <w:name w:val="sptitle"/>
    <w:basedOn w:val="12"/>
    <w:qFormat/>
    <w:uiPriority w:val="0"/>
    <w:rPr>
      <w:u w:val="none"/>
    </w:rPr>
  </w:style>
  <w:style w:type="character" w:customStyle="1" w:styleId="23">
    <w:name w:val="fontstyle01"/>
    <w:qFormat/>
    <w:uiPriority w:val="0"/>
    <w:rPr>
      <w:rFonts w:hint="default" w:ascii="FZHTK--GBK1-0" w:hAnsi="FZHTK--GBK1-0"/>
      <w:color w:val="242021"/>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8.emf"/><Relationship Id="rId25" Type="http://schemas.openxmlformats.org/officeDocument/2006/relationships/oleObject" Target="embeddings/oleObject3.bin"/><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chart" Target="charts/chart1.xml"/><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emf"/><Relationship Id="rId14" Type="http://schemas.openxmlformats.org/officeDocument/2006/relationships/oleObject" Target="embeddings/oleObject2.bin"/><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19987;&#23646;&#25991;&#20214;\Project\&#22269;&#23478;&#38498;&#39033;&#30446;\&#28608;&#20809;&#31890;&#23376;&#35745;&#25968;&#22120;\&#23454;&#39564;\20230814&#23454;&#39564;\&#31890;&#23376;&#35745;&#25968;&#22120;&#23454;&#39564;2023081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rgbClr val="595959">
                    <a:lumMod val="65000"/>
                    <a:lumOff val="35000"/>
                  </a:srgbClr>
                </a:solidFill>
                <a:latin typeface="+mn-lt"/>
                <a:ea typeface="+mn-ea"/>
                <a:cs typeface="+mn-cs"/>
              </a:defRPr>
            </a:pPr>
            <a:r>
              <a:t>一小时粒子计数器测量值，粒径为0.5μm</a:t>
            </a:r>
          </a:p>
        </c:rich>
      </c:tx>
      <c:layout/>
      <c:overlay val="0"/>
      <c:spPr>
        <a:noFill/>
        <a:ln>
          <a:noFill/>
        </a:ln>
        <a:effectLst/>
      </c:spPr>
    </c:title>
    <c:autoTitleDeleted val="0"/>
    <c:plotArea>
      <c:layout/>
      <c:lineChart>
        <c:grouping val="stacked"/>
        <c:varyColors val="0"/>
        <c:ser>
          <c:idx val="0"/>
          <c:order val="0"/>
          <c:spPr>
            <a:ln w="28575" cap="rnd">
              <a:solidFill>
                <a:srgbClr val="4F81BD"/>
              </a:solidFill>
              <a:round/>
            </a:ln>
            <a:effectLst/>
          </c:spPr>
          <c:marker>
            <c:symbol val="none"/>
          </c:marker>
          <c:dLbls>
            <c:delete val="1"/>
          </c:dLbls>
          <c:val>
            <c:numRef>
              <c:f>[粒子计数器实验20230814.xlsx]Sheet1!$A$3:$A$62</c:f>
              <c:numCache>
                <c:formatCode>General</c:formatCode>
                <c:ptCount val="60"/>
                <c:pt idx="0">
                  <c:v>14820</c:v>
                </c:pt>
                <c:pt idx="1">
                  <c:v>14647</c:v>
                </c:pt>
                <c:pt idx="2">
                  <c:v>14841</c:v>
                </c:pt>
                <c:pt idx="3">
                  <c:v>14681</c:v>
                </c:pt>
                <c:pt idx="4">
                  <c:v>14620</c:v>
                </c:pt>
                <c:pt idx="5">
                  <c:v>14948</c:v>
                </c:pt>
                <c:pt idx="6">
                  <c:v>14630</c:v>
                </c:pt>
                <c:pt idx="7">
                  <c:v>14781</c:v>
                </c:pt>
                <c:pt idx="8">
                  <c:v>15000</c:v>
                </c:pt>
                <c:pt idx="9">
                  <c:v>14901</c:v>
                </c:pt>
                <c:pt idx="10">
                  <c:v>14883</c:v>
                </c:pt>
                <c:pt idx="11">
                  <c:v>14931</c:v>
                </c:pt>
                <c:pt idx="12">
                  <c:v>14804</c:v>
                </c:pt>
                <c:pt idx="13">
                  <c:v>14650</c:v>
                </c:pt>
                <c:pt idx="14">
                  <c:v>14899</c:v>
                </c:pt>
                <c:pt idx="15">
                  <c:v>15083</c:v>
                </c:pt>
                <c:pt idx="16">
                  <c:v>14825</c:v>
                </c:pt>
                <c:pt idx="17">
                  <c:v>14847</c:v>
                </c:pt>
                <c:pt idx="18">
                  <c:v>14988</c:v>
                </c:pt>
                <c:pt idx="19">
                  <c:v>14800</c:v>
                </c:pt>
                <c:pt idx="20">
                  <c:v>14605</c:v>
                </c:pt>
                <c:pt idx="21">
                  <c:v>14586</c:v>
                </c:pt>
                <c:pt idx="22">
                  <c:v>14736</c:v>
                </c:pt>
                <c:pt idx="23">
                  <c:v>14484</c:v>
                </c:pt>
                <c:pt idx="24">
                  <c:v>14829</c:v>
                </c:pt>
                <c:pt idx="25">
                  <c:v>14765</c:v>
                </c:pt>
                <c:pt idx="26">
                  <c:v>14984</c:v>
                </c:pt>
                <c:pt idx="27">
                  <c:v>14703</c:v>
                </c:pt>
                <c:pt idx="28">
                  <c:v>14782</c:v>
                </c:pt>
                <c:pt idx="29">
                  <c:v>14916</c:v>
                </c:pt>
                <c:pt idx="30">
                  <c:v>14809</c:v>
                </c:pt>
                <c:pt idx="31">
                  <c:v>14696</c:v>
                </c:pt>
                <c:pt idx="32">
                  <c:v>14849</c:v>
                </c:pt>
                <c:pt idx="33">
                  <c:v>14889</c:v>
                </c:pt>
                <c:pt idx="34">
                  <c:v>14947</c:v>
                </c:pt>
                <c:pt idx="35">
                  <c:v>14715</c:v>
                </c:pt>
                <c:pt idx="36">
                  <c:v>14831</c:v>
                </c:pt>
                <c:pt idx="37">
                  <c:v>14842</c:v>
                </c:pt>
                <c:pt idx="38">
                  <c:v>14787</c:v>
                </c:pt>
                <c:pt idx="39">
                  <c:v>14926</c:v>
                </c:pt>
                <c:pt idx="40">
                  <c:v>14794</c:v>
                </c:pt>
                <c:pt idx="41">
                  <c:v>14804</c:v>
                </c:pt>
                <c:pt idx="42">
                  <c:v>14892</c:v>
                </c:pt>
                <c:pt idx="43">
                  <c:v>14963</c:v>
                </c:pt>
                <c:pt idx="44">
                  <c:v>14858</c:v>
                </c:pt>
                <c:pt idx="45">
                  <c:v>14794</c:v>
                </c:pt>
                <c:pt idx="46">
                  <c:v>14934</c:v>
                </c:pt>
                <c:pt idx="47">
                  <c:v>14557</c:v>
                </c:pt>
                <c:pt idx="48">
                  <c:v>14559</c:v>
                </c:pt>
                <c:pt idx="49">
                  <c:v>14672</c:v>
                </c:pt>
                <c:pt idx="50">
                  <c:v>14600</c:v>
                </c:pt>
                <c:pt idx="51">
                  <c:v>14549</c:v>
                </c:pt>
                <c:pt idx="52">
                  <c:v>14764</c:v>
                </c:pt>
                <c:pt idx="53">
                  <c:v>14695</c:v>
                </c:pt>
                <c:pt idx="54">
                  <c:v>14531</c:v>
                </c:pt>
                <c:pt idx="55">
                  <c:v>14726</c:v>
                </c:pt>
                <c:pt idx="56">
                  <c:v>14871</c:v>
                </c:pt>
                <c:pt idx="57">
                  <c:v>14608</c:v>
                </c:pt>
                <c:pt idx="58">
                  <c:v>14474</c:v>
                </c:pt>
                <c:pt idx="59">
                  <c:v>14532</c:v>
                </c:pt>
              </c:numCache>
            </c:numRef>
          </c:val>
          <c:smooth val="0"/>
        </c:ser>
        <c:dLbls>
          <c:showLegendKey val="0"/>
          <c:showVal val="0"/>
          <c:showCatName val="0"/>
          <c:showSerName val="0"/>
          <c:showPercent val="0"/>
          <c:showBubbleSize val="0"/>
        </c:dLbls>
        <c:marker val="0"/>
        <c:smooth val="0"/>
        <c:axId val="570657705"/>
        <c:axId val="906745835"/>
      </c:lineChart>
      <c:catAx>
        <c:axId val="570657705"/>
        <c:scaling>
          <c:orientation val="minMax"/>
        </c:scaling>
        <c:delete val="0"/>
        <c:axPos val="b"/>
        <c:majorTickMark val="none"/>
        <c:minorTickMark val="none"/>
        <c:tickLblPos val="nextTo"/>
        <c:spPr>
          <a:noFill/>
          <a:ln w="9525" cap="flat" cmpd="sng" algn="ctr">
            <a:solidFill>
              <a:srgbClr val="D9D9D9">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906745835"/>
        <c:crosses val="autoZero"/>
        <c:auto val="1"/>
        <c:lblAlgn val="ctr"/>
        <c:lblOffset val="100"/>
        <c:noMultiLvlLbl val="0"/>
      </c:catAx>
      <c:valAx>
        <c:axId val="906745835"/>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p>
        </c:txPr>
        <c:crossAx val="570657705"/>
        <c:crosses val="autoZero"/>
        <c:crossBetween val="between"/>
      </c:valAx>
      <c:spPr>
        <a:noFill/>
        <a:ln>
          <a:noFill/>
        </a:ln>
        <a:effectLst/>
      </c:spPr>
    </c:plotArea>
    <c:plotVisOnly val="1"/>
    <c:dispBlanksAs val="zero"/>
    <c:showDLblsOverMax val="0"/>
  </c:chart>
  <c:spPr>
    <a:solidFill>
      <a:srgbClr val="FFFFFF"/>
    </a:solidFill>
    <a:ln w="9525" cap="flat" cmpd="sng" algn="ctr">
      <a:solidFill>
        <a:srgbClr val="D9D9D9">
          <a:lumMod val="15000"/>
          <a:lumOff val="85000"/>
        </a:srgb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D9D9D9">
            <a:lumMod val="15000"/>
            <a:lumOff val="8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spPr>
      <a:solidFill>
        <a:srgbClr val="FFFFFF"/>
      </a:solidFill>
    </cs:spPr>
  </cs:dataPoint>
  <cs:dataPoint3D>
    <cs:lnRef idx="0"/>
    <cs:fillRef idx="1">
      <cs:styleClr val="auto"/>
    </cs:fillRef>
    <cs:effectRef idx="0"/>
    <cs:fontRef idx="minor">
      <a:srgbClr val="000000"/>
    </cs:fontRef>
    <cs:spPr>
      <a:solidFill>
        <a:srgbClr val="FFFFFF"/>
      </a:solidFill>
    </cs:spPr>
  </cs:dataPoint3D>
  <cs:dataPointLine>
    <cs:lnRef idx="0">
      <cs:styleClr val="auto"/>
    </cs:lnRef>
    <cs:fillRef idx="1"/>
    <cs:effectRef idx="0"/>
    <cs:fontRef idx="minor">
      <a:srgbClr val="000000"/>
    </cs:fontRef>
    <cs:spPr>
      <a:ln w="28575" cap="rnd">
        <a:solidFill>
          <a:srgbClr val="FFFFFF"/>
        </a:solidFill>
        <a:round/>
      </a:ln>
    </cs:spPr>
  </cs:dataPointLine>
  <cs:dataPointMarker>
    <cs:lnRef idx="0">
      <cs:styleClr val="auto"/>
    </cs:lnRef>
    <cs:fillRef idx="1">
      <cs:styleClr val="auto"/>
    </cs:fillRef>
    <cs:effectRef idx="0"/>
    <cs:fontRef idx="minor">
      <a:srgbClr val="000000"/>
    </cs:fontRef>
    <cs:spPr>
      <a:solidFill>
        <a:srgbClr val="FFFFFF"/>
      </a:solidFill>
      <a:ln w="9525">
        <a:solidFill>
          <a:srgbClr val="FFFFFF"/>
        </a:solidFill>
      </a:ln>
    </cs:spPr>
  </cs:dataPointMarker>
  <cs:dataPointMarkerLayout symbol="circle" size="5"/>
  <cs:dataPointWireframe>
    <cs:lnRef idx="0">
      <cs:styleClr val="auto"/>
    </cs:lnRef>
    <cs:fillRef idx="1"/>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595959">
          <a:lumMod val="65000"/>
          <a:lumOff val="35000"/>
        </a:srgbClr>
      </a:solidFill>
      <a:ln w="9525">
        <a:solidFill>
          <a:srgbClr val="595959">
            <a:lumMod val="65000"/>
            <a:lumOff val="35000"/>
          </a:srgbClr>
        </a:solidFill>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404040">
            <a:lumMod val="75000"/>
            <a:lumOff val="25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a:solidFill>
          <a:srgbClr val="D9D9D9">
            <a:lumMod val="15000"/>
            <a:lumOff val="85000"/>
          </a:srgbClr>
        </a:solidFill>
      </a:ln>
    </cs:spPr>
  </cs:upBar>
  <cs:valueAxis>
    <cs:lnRef idx="0"/>
    <cs:fillRef idx="0"/>
    <cs:effectRef idx="0"/>
    <cs:fontRef idx="minor">
      <a:srgbClr val="595959">
        <a:lumMod val="65000"/>
        <a:lumOff val="35000"/>
      </a:srgbClr>
    </cs:fontRef>
    <cs:defRPr sz="900" kern="1200"/>
  </cs:valueAxis>
  <cs:wall>
    <cs:lnRef idx="0"/>
    <cs:fillRef idx="0"/>
    <cs:effectRef idx="0"/>
    <cs:fontRef idx="minor">
      <a:srgbClr val="000000"/>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890</Words>
  <Characters>5074</Characters>
  <Lines>42</Lines>
  <Paragraphs>11</Paragraphs>
  <TotalTime>6</TotalTime>
  <ScaleCrop>false</ScaleCrop>
  <LinksUpToDate>false</LinksUpToDate>
  <CharactersWithSpaces>5953</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fjjl</dc:creator>
  <cp:lastModifiedBy>韩蒙</cp:lastModifiedBy>
  <dcterms:modified xsi:type="dcterms:W3CDTF">2024-09-03T15:57:19Z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